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107</w:t>
      </w:r>
      <w:r>
        <w:rPr>
          <w:rFonts w:ascii="Arial" w:hAnsi="Arial" w:eastAsia="MS Mincho"/>
          <w:b/>
          <w:color w:val="auto"/>
          <w:sz w:val="24"/>
        </w:rPr>
        <w:tab/>
      </w:r>
      <w:r>
        <w:rPr>
          <w:rFonts w:ascii="Arial" w:hAnsi="Arial"/>
          <w:b/>
          <w:color w:val="auto"/>
          <w:sz w:val="24"/>
          <w:lang w:eastAsia="zh-CN"/>
        </w:rPr>
        <w:t>R4-2</w:t>
      </w:r>
      <w:r>
        <w:rPr>
          <w:rFonts w:hint="eastAsia" w:ascii="Arial" w:hAnsi="Arial"/>
          <w:b/>
          <w:color w:val="auto"/>
          <w:sz w:val="24"/>
          <w:lang w:val="en-US" w:eastAsia="zh-CN"/>
        </w:rPr>
        <w:t>308046</w:t>
      </w:r>
      <w:bookmarkStart w:id="1" w:name="_GoBack"/>
      <w:bookmarkEnd w:id="1"/>
    </w:p>
    <w:p>
      <w:pPr>
        <w:tabs>
          <w:tab w:val="left" w:pos="3106"/>
          <w:tab w:val="center" w:pos="4536"/>
          <w:tab w:val="right" w:pos="9072"/>
        </w:tabs>
        <w:jc w:val="both"/>
        <w:rPr>
          <w:rFonts w:ascii="Arial" w:hAnsi="Arial" w:eastAsia="宋体"/>
          <w:b/>
          <w:color w:val="auto"/>
          <w:sz w:val="24"/>
          <w:lang w:val="en-GB" w:eastAsia="zh-CN"/>
        </w:rPr>
      </w:pPr>
      <w:r>
        <w:rPr>
          <w:rFonts w:hint="eastAsia" w:ascii="Arial" w:hAnsi="Arial" w:eastAsia="宋体"/>
          <w:b/>
          <w:color w:val="auto"/>
          <w:sz w:val="24"/>
          <w:lang w:val="en-US" w:eastAsia="zh-CN"/>
        </w:rPr>
        <w:t>Incheon</w:t>
      </w:r>
      <w:r>
        <w:rPr>
          <w:rFonts w:ascii="Arial" w:hAnsi="Arial" w:eastAsia="宋体"/>
          <w:b/>
          <w:color w:val="auto"/>
          <w:sz w:val="24"/>
          <w:lang w:eastAsia="zh-CN"/>
        </w:rPr>
        <w:t>,</w:t>
      </w:r>
      <w:r>
        <w:rPr>
          <w:rFonts w:hint="eastAsia" w:ascii="Arial" w:hAnsi="Arial" w:eastAsia="宋体"/>
          <w:b/>
          <w:color w:val="auto"/>
          <w:sz w:val="24"/>
          <w:lang w:val="en-US" w:eastAsia="zh-CN"/>
        </w:rPr>
        <w:t xml:space="preserve"> ROK,</w:t>
      </w:r>
      <w:r>
        <w:rPr>
          <w:rFonts w:ascii="Arial" w:hAnsi="Arial" w:eastAsia="宋体"/>
          <w:b/>
          <w:color w:val="auto"/>
          <w:sz w:val="24"/>
          <w:lang w:eastAsia="zh-CN"/>
        </w:rPr>
        <w:t xml:space="preserve"> </w:t>
      </w:r>
      <w:r>
        <w:rPr>
          <w:rFonts w:hint="eastAsia" w:ascii="Arial" w:hAnsi="Arial" w:eastAsia="宋体" w:cs="Arial"/>
          <w:b/>
          <w:bCs/>
          <w:sz w:val="24"/>
          <w:szCs w:val="24"/>
          <w:lang w:val="en-US" w:eastAsia="zh-CN"/>
        </w:rPr>
        <w:t xml:space="preserve">22 </w:t>
      </w:r>
      <w:r>
        <w:rPr>
          <w:rFonts w:ascii="Arial" w:hAnsi="Arial" w:cs="Arial"/>
          <w:b/>
          <w:bCs/>
          <w:sz w:val="24"/>
          <w:szCs w:val="24"/>
        </w:rPr>
        <w:t>–</w:t>
      </w:r>
      <w:r>
        <w:rPr>
          <w:rFonts w:hint="eastAsia" w:ascii="Arial" w:hAnsi="Arial" w:eastAsia="宋体" w:cs="Arial"/>
          <w:b/>
          <w:bCs/>
          <w:sz w:val="24"/>
          <w:szCs w:val="24"/>
          <w:lang w:val="en-US" w:eastAsia="zh-CN"/>
        </w:rPr>
        <w:t xml:space="preserve"> 26</w:t>
      </w:r>
      <w:r>
        <w:rPr>
          <w:rFonts w:ascii="Arial" w:hAnsi="Arial" w:cs="Arial"/>
          <w:b/>
          <w:bCs/>
          <w:sz w:val="24"/>
          <w:szCs w:val="24"/>
        </w:rPr>
        <w:t xml:space="preserve"> </w:t>
      </w:r>
      <w:r>
        <w:rPr>
          <w:rFonts w:hint="eastAsia" w:ascii="Arial" w:hAnsi="Arial" w:eastAsia="宋体" w:cs="Arial"/>
          <w:b/>
          <w:bCs/>
          <w:sz w:val="24"/>
          <w:szCs w:val="24"/>
          <w:lang w:val="en-US" w:eastAsia="zh-CN"/>
        </w:rPr>
        <w:t>May</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tabs>
          <w:tab w:val="left" w:pos="3106"/>
          <w:tab w:val="center" w:pos="4536"/>
          <w:tab w:val="right" w:pos="9072"/>
        </w:tabs>
        <w:jc w:val="both"/>
        <w:rPr>
          <w:rFonts w:hint="eastAsia" w:ascii="Arial" w:hAnsi="Arial" w:eastAsia="宋体"/>
          <w:b/>
          <w:color w:val="auto"/>
          <w:sz w:val="24"/>
          <w:lang w:val="en-US"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Discussion on RRM requirements for NTN enhancement</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8.27.5</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6"/>
        <w:rPr>
          <w:lang w:val="en-US"/>
        </w:rPr>
      </w:pPr>
      <w:r>
        <w:rPr>
          <w:lang w:val="en-US"/>
        </w:rPr>
        <w:t>Intro</w:t>
      </w:r>
      <w:r>
        <w:rPr>
          <w:rStyle w:val="77"/>
          <w:lang w:val="en-US"/>
        </w:rPr>
        <w:t>ductio</w:t>
      </w:r>
      <w:r>
        <w:rPr>
          <w:lang w:val="en-US"/>
        </w:rPr>
        <w:t>n</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ascii="Times New Roman" w:hAnsi="Times New Roman" w:eastAsia="宋体" w:cs="Times New Roman"/>
          <w:sz w:val="22"/>
          <w:lang w:val="en-US" w:eastAsia="zh-CN"/>
        </w:rPr>
      </w:pPr>
      <w:r>
        <w:rPr>
          <w:rFonts w:hint="eastAsia" w:eastAsia="宋体"/>
          <w:color w:val="000000"/>
          <w:sz w:val="22"/>
          <w:szCs w:val="22"/>
          <w:lang w:val="en-US" w:eastAsia="zh-CN"/>
        </w:rPr>
        <w:t xml:space="preserve"> </w:t>
      </w:r>
      <w:r>
        <w:rPr>
          <w:color w:val="000000"/>
          <w:sz w:val="22"/>
          <w:szCs w:val="22"/>
          <w:lang w:val="en-US"/>
        </w:rPr>
        <w:t>At RAN 9</w:t>
      </w:r>
      <w:r>
        <w:rPr>
          <w:rFonts w:hint="eastAsia" w:eastAsia="宋体"/>
          <w:color w:val="000000"/>
          <w:sz w:val="22"/>
          <w:szCs w:val="22"/>
          <w:lang w:val="en-US" w:eastAsia="zh-CN"/>
        </w:rPr>
        <w:t>8-e</w:t>
      </w:r>
      <w:r>
        <w:rPr>
          <w:color w:val="000000"/>
          <w:sz w:val="22"/>
          <w:szCs w:val="22"/>
          <w:lang w:val="en-US"/>
        </w:rPr>
        <w:t xml:space="preserve"> meeting the revised WI “</w:t>
      </w:r>
      <w:r>
        <w:rPr>
          <w:rFonts w:hint="eastAsia"/>
        </w:rPr>
        <w:t>NR NTN (Non-Terrestrial Networks) enhancements</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t>
      </w:r>
      <w:r>
        <w:rPr>
          <w:rFonts w:hint="eastAsia" w:eastAsia="宋体" w:cs="Times New Roman"/>
          <w:sz w:val="22"/>
          <w:lang w:val="en-US" w:eastAsia="zh-CN"/>
        </w:rPr>
        <w:t>we only discussed the LS from RAN2 related to RACH-less</w:t>
      </w:r>
      <w:r>
        <w:rPr>
          <w:rFonts w:hint="eastAsia" w:ascii="Times New Roman" w:hAnsi="Times New Roman" w:eastAsia="宋体" w:cs="Times New Roman"/>
          <w:sz w:val="22"/>
          <w:lang w:val="en-US" w:eastAsia="zh-CN"/>
        </w:rPr>
        <w:t>,</w:t>
      </w:r>
      <w:r>
        <w:rPr>
          <w:rFonts w:hint="eastAsia" w:eastAsia="宋体" w:cs="Times New Roman"/>
          <w:sz w:val="22"/>
          <w:lang w:val="en-US" w:eastAsia="zh-CN"/>
        </w:rPr>
        <w:t xml:space="preserve"> as for several objectives have not been discussed and in #106bis_e meeting we will specify the scenarios and general view on the topics, what we discussed before</w:t>
      </w:r>
      <w:r>
        <w:rPr>
          <w:rFonts w:hint="eastAsia" w:ascii="Times New Roman" w:hAnsi="Times New Roman" w:eastAsia="宋体" w:cs="Times New Roman"/>
          <w:sz w:val="22"/>
          <w:lang w:val="en-US" w:eastAsia="zh-CN"/>
        </w:rPr>
        <w:t xml:space="preserve">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w:t>
      </w:r>
    </w:p>
    <w:p>
      <w:pPr>
        <w:pStyle w:val="76"/>
        <w:rPr>
          <w:lang w:val="en-US"/>
        </w:rPr>
      </w:pPr>
      <w:r>
        <w:rPr>
          <w:lang w:val="en-US"/>
        </w:rPr>
        <w:t>Discussion</w:t>
      </w:r>
    </w:p>
    <w:p>
      <w:pPr>
        <w:rPr>
          <w:rFonts w:hint="default"/>
          <w:sz w:val="22"/>
          <w:szCs w:val="22"/>
          <w:lang w:val="en-US" w:eastAsia="zh-CN"/>
        </w:rPr>
      </w:pPr>
      <w:r>
        <w:rPr>
          <w:rFonts w:hint="eastAsia"/>
          <w:sz w:val="22"/>
          <w:szCs w:val="22"/>
          <w:lang w:val="en-US" w:eastAsia="zh-CN"/>
        </w:rPr>
        <w:t xml:space="preserve">The objectives of Rel-18 NTN enhancement are described in [1] including:  </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before="120" w:beforeLines="50" w:after="120" w:afterLines="50"/>
              <w:jc w:val="left"/>
              <w:rPr>
                <w:rFonts w:ascii="Times New Roman" w:hAnsi="Times New Roman" w:eastAsia="宋体" w:cs="Times New Roman"/>
                <w:bCs/>
                <w:kern w:val="0"/>
                <w:sz w:val="20"/>
                <w:szCs w:val="20"/>
              </w:rPr>
            </w:pPr>
            <w:r>
              <w:rPr>
                <w:rFonts w:hint="eastAsia" w:eastAsia="宋体" w:cs="Times New Roman"/>
                <w:bCs/>
                <w:kern w:val="0"/>
                <w:sz w:val="20"/>
                <w:szCs w:val="20"/>
                <w:lang w:val="en-US" w:eastAsia="zh-CN"/>
              </w:rPr>
              <w:t xml:space="preserve">2.1 </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NR-NTN deployment in above 10 GHz bands</w:t>
            </w:r>
          </w:p>
          <w:p>
            <w:pPr>
              <w:spacing w:before="120" w:beforeLines="50" w:after="120" w:afterLines="50"/>
              <w:jc w:val="left"/>
              <w:rPr>
                <w:rFonts w:ascii="Times New Roman" w:hAnsi="Times New Roman" w:eastAsia="宋体" w:cs="Times New Roman"/>
                <w:kern w:val="0"/>
                <w:sz w:val="20"/>
                <w:szCs w:val="20"/>
              </w:rPr>
            </w:pPr>
            <w:r>
              <w:rPr>
                <w:rFonts w:hint="eastAsia" w:eastAsia="宋体" w:cs="Times New Roman"/>
                <w:bCs/>
                <w:kern w:val="0"/>
                <w:sz w:val="20"/>
                <w:szCs w:val="20"/>
                <w:lang w:val="en-US" w:eastAsia="zh-CN"/>
              </w:rPr>
              <w:t xml:space="preserve">2.2 </w:t>
            </w:r>
            <w:r>
              <w:rPr>
                <w:rFonts w:ascii="Times New Roman" w:hAnsi="Times New Roman" w:eastAsia="宋体" w:cs="Times New Roman"/>
                <w:bCs/>
                <w:kern w:val="0"/>
                <w:sz w:val="20"/>
                <w:szCs w:val="20"/>
              </w:rPr>
              <w:tab/>
            </w:r>
            <w:r>
              <w:rPr>
                <w:rFonts w:ascii="Times New Roman" w:hAnsi="Times New Roman" w:eastAsia="宋体" w:cs="Times New Roman"/>
                <w:bCs/>
                <w:kern w:val="0"/>
                <w:sz w:val="20"/>
                <w:szCs w:val="20"/>
              </w:rPr>
              <w:t>NTN-TN and NTN-NTN mobility and service continuity enhancements</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lang w:val="en-US" w:eastAsia="zh-CN"/>
        </w:rPr>
      </w:pPr>
      <w:r>
        <w:rPr>
          <w:rFonts w:hint="eastAsia" w:eastAsia="宋体" w:cs="Times New Roman"/>
          <w:sz w:val="22"/>
          <w:lang w:val="en-US" w:eastAsia="zh-CN"/>
        </w:rPr>
        <w:t>In this meeting, we will discuss the scenarios and express our views on potential impact to RRM requirements towards the above objectives. The objectives are divided into four aspects:</w:t>
      </w:r>
    </w:p>
    <w:p>
      <w:pPr>
        <w:pStyle w:val="78"/>
        <w:numPr>
          <w:ilvl w:val="1"/>
          <w:numId w:val="0"/>
        </w:numPr>
        <w:bidi w:val="0"/>
        <w:rPr>
          <w:rFonts w:hint="eastAsia"/>
          <w:lang w:val="en-US" w:eastAsia="zh-CN"/>
        </w:rPr>
      </w:pPr>
      <w:r>
        <w:rPr>
          <w:rFonts w:hint="eastAsia"/>
          <w:lang w:val="en-US" w:eastAsia="zh-CN"/>
        </w:rPr>
        <w:t>2.2 NR-NTN deployment in above 10 GHz bands</w:t>
      </w:r>
    </w:p>
    <w:p>
      <w:pPr>
        <w:rPr>
          <w:rFonts w:hint="default"/>
          <w:sz w:val="22"/>
          <w:szCs w:val="22"/>
          <w:lang w:val="en-US" w:eastAsia="zh-CN"/>
        </w:rPr>
      </w:pPr>
      <w:r>
        <w:rPr>
          <w:rFonts w:hint="eastAsia"/>
          <w:sz w:val="22"/>
          <w:szCs w:val="22"/>
          <w:lang w:val="en-US" w:eastAsia="zh-CN"/>
        </w:rPr>
        <w:t>RAN4 shall define the RRM requirements based on the latest revised WID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The following assumptions are</w:t>
            </w:r>
            <w:r>
              <w:rPr>
                <w:bCs/>
                <w:highlight w:val="cyan"/>
              </w:rPr>
              <w:t xml:space="preserve"> taken a baseline</w:t>
            </w:r>
            <w:r>
              <w:rPr>
                <w:bCs/>
              </w:rPr>
              <w:t xml:space="preserve"> for this work:</w:t>
            </w:r>
          </w:p>
          <w:p>
            <w:pPr>
              <w:numPr>
                <w:ilvl w:val="0"/>
                <w:numId w:val="3"/>
              </w:numPr>
              <w:spacing w:after="0"/>
              <w:rPr>
                <w:bCs/>
              </w:rPr>
            </w:pPr>
            <w:r>
              <w:rPr>
                <w:bCs/>
              </w:rPr>
              <w:t>GSO and NGSO (e.g. LEO, MEO, HEO) based satellite access to be considered</w:t>
            </w:r>
          </w:p>
          <w:p>
            <w:pPr>
              <w:numPr>
                <w:ilvl w:val="1"/>
                <w:numId w:val="3"/>
              </w:numPr>
              <w:spacing w:after="0"/>
              <w:rPr>
                <w:bCs/>
              </w:rPr>
            </w:pPr>
            <w:r>
              <w:rPr>
                <w:bCs/>
              </w:rPr>
              <w:t xml:space="preserve">ESIM scenarios for NGSO in Ka band are not considered in this WI. </w:t>
            </w:r>
          </w:p>
          <w:p>
            <w:pPr>
              <w:numPr>
                <w:ilvl w:val="0"/>
                <w:numId w:val="3"/>
              </w:numPr>
              <w:spacing w:after="0"/>
              <w:rPr>
                <w:bCs/>
              </w:rPr>
            </w:pPr>
            <w:r>
              <w:rPr>
                <w:bCs/>
              </w:rPr>
              <w:t>Targeted UE types: fixed and mobile VSAT. VSAT UE characteristics from TR38.821 to be considered in priority but additional NTN UE classes may be considered if justified</w:t>
            </w:r>
          </w:p>
          <w:p>
            <w:pPr>
              <w:numPr>
                <w:ilvl w:val="1"/>
                <w:numId w:val="3"/>
              </w:numPr>
              <w:spacing w:after="0"/>
              <w:rPr>
                <w:bCs/>
              </w:rPr>
            </w:pPr>
            <w:r>
              <w:rPr>
                <w:bCs/>
              </w:rPr>
              <w:t>Regarding mobile VSAT, three types of terminal and scenario exist; airborne, maritime and land based ESIM.</w:t>
            </w:r>
            <w:r>
              <w:t xml:space="preserve"> </w:t>
            </w:r>
            <w:r>
              <w:rPr>
                <w:bCs/>
              </w:rPr>
              <w:t>Which type(s) to be specified depends on the outcome of the regulation analysis and co-existence study.</w:t>
            </w:r>
          </w:p>
          <w:p>
            <w:pPr>
              <w:numPr>
                <w:ilvl w:val="0"/>
                <w:numId w:val="3"/>
              </w:numPr>
              <w:spacing w:after="0"/>
              <w:rPr>
                <w:bCs/>
              </w:rPr>
            </w:pPr>
            <w:r>
              <w:rPr>
                <w:bCs/>
              </w:rPr>
              <w:t>FDD mode is assumed for satellite operation above 10 GHz, while TDD mode is assumed for terrestrial operation in FR2</w:t>
            </w:r>
          </w:p>
          <w:p>
            <w:pPr>
              <w:numPr>
                <w:ilvl w:val="0"/>
                <w:numId w:val="3"/>
              </w:numPr>
              <w:spacing w:after="0"/>
              <w:rPr>
                <w:bCs/>
              </w:rPr>
            </w:pPr>
            <w:r>
              <w:rPr>
                <w:bCs/>
              </w:rPr>
              <w:t>The ITU-R harmonized Ka band will serve as reference</w:t>
            </w:r>
          </w:p>
          <w:p>
            <w:pPr>
              <w:numPr>
                <w:ilvl w:val="0"/>
                <w:numId w:val="3"/>
              </w:numPr>
              <w:spacing w:after="0"/>
              <w:rPr>
                <w:bCs/>
              </w:rPr>
            </w:pPr>
            <w:r>
              <w:rPr>
                <w:bCs/>
                <w:highlight w:val="cyan"/>
              </w:rPr>
              <w:t>Co-existence between overlapping NTN and TN band portions is out of scope of this work item</w:t>
            </w:r>
            <w:r>
              <w:rPr>
                <w:bCs/>
              </w:rPr>
              <w:t>. This aspect will be captured in the specification.</w:t>
            </w:r>
          </w:p>
          <w:p>
            <w:pPr>
              <w:spacing w:after="0"/>
              <w:rPr>
                <w:bCs/>
              </w:rPr>
            </w:pPr>
          </w:p>
          <w:p>
            <w:pPr>
              <w:spacing w:after="0"/>
              <w:rPr>
                <w:bCs/>
              </w:rPr>
            </w:pPr>
            <w:r>
              <w:rPr>
                <w:bCs/>
              </w:rPr>
              <w:t>The following covers the objectives for NR-NTN deployment in above 10 GHz bands. This work is expected to start after June 2022.</w:t>
            </w:r>
          </w:p>
          <w:p>
            <w:pPr>
              <w:spacing w:after="0"/>
              <w:rPr>
                <w:bCs/>
              </w:rPr>
            </w:pPr>
          </w:p>
          <w:p>
            <w:pPr>
              <w:numPr>
                <w:ilvl w:val="0"/>
                <w:numId w:val="4"/>
              </w:numPr>
              <w:spacing w:after="0"/>
              <w:rPr>
                <w:bCs/>
              </w:rPr>
            </w:pPr>
            <w:r>
              <w:rPr>
                <w:bCs/>
              </w:rPr>
              <w:t>Study and identify NTN example band: Analysis of regulations and adjacent channel co-existence scenarios. The example band shall be identified early in the WI. Additional bands can be introduced in a release-independent manner. [RAN4]</w:t>
            </w:r>
          </w:p>
          <w:p>
            <w:pPr>
              <w:numPr>
                <w:ilvl w:val="0"/>
                <w:numId w:val="4"/>
              </w:numPr>
              <w:spacing w:after="0"/>
              <w:rPr>
                <w:bCs/>
              </w:rPr>
            </w:pPr>
            <w:r>
              <w:rPr>
                <w:bCs/>
              </w:rPr>
              <w:t>Specify Rx/Tx requirements for satellite access node and different VSAT UE class (not only 60 cm aperture) as appropriate for the identified example band [RAN4]</w:t>
            </w:r>
          </w:p>
          <w:p>
            <w:pPr>
              <w:numPr>
                <w:ilvl w:val="0"/>
                <w:numId w:val="4"/>
              </w:numPr>
              <w:spacing w:after="0"/>
              <w:rPr>
                <w:bCs/>
              </w:rPr>
            </w:pPr>
            <w:r>
              <w:rPr>
                <w:bCs/>
              </w:rPr>
              <w:t>Identify values for physical layer parameters chosen from the existing FR1 and FR2 sets. The following set of parameters to specify, but not necessarily limited to, are listed.as follows [RAN4]:</w:t>
            </w:r>
          </w:p>
          <w:p>
            <w:pPr>
              <w:numPr>
                <w:ilvl w:val="1"/>
                <w:numId w:val="4"/>
              </w:numPr>
              <w:spacing w:after="0"/>
              <w:rPr>
                <w:bCs/>
              </w:rPr>
            </w:pPr>
            <w:r>
              <w:rPr>
                <w:bCs/>
              </w:rPr>
              <w:t>time relationship related enhancement (e.g. K_offset)</w:t>
            </w:r>
          </w:p>
          <w:p>
            <w:pPr>
              <w:numPr>
                <w:ilvl w:val="1"/>
                <w:numId w:val="4"/>
              </w:numPr>
              <w:spacing w:after="0"/>
              <w:rPr>
                <w:bCs/>
              </w:rPr>
            </w:pPr>
            <w:r>
              <w:rPr>
                <w:bCs/>
              </w:rPr>
              <w:t>subcarrier spacing for different UL/DL signals/channels</w:t>
            </w:r>
          </w:p>
          <w:p>
            <w:pPr>
              <w:numPr>
                <w:ilvl w:val="1"/>
                <w:numId w:val="4"/>
              </w:numPr>
              <w:spacing w:after="0"/>
              <w:rPr>
                <w:bCs/>
              </w:rPr>
            </w:pPr>
            <w:r>
              <w:rPr>
                <w:bCs/>
              </w:rPr>
              <w:t>PRACH configuration index for FDD above 10 GHz.</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And in the last meeting, RAN4 had some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eastAsia="ko-KR"/>
              </w:rPr>
            </w:pPr>
            <w:r>
              <w:rPr>
                <w:b/>
                <w:u w:val="single"/>
                <w:lang w:eastAsia="ko-KR"/>
              </w:rPr>
              <w:t>Issue 2-1: Numerologies in NR-NTN above 10 GHz bands</w:t>
            </w:r>
          </w:p>
          <w:p>
            <w:pPr>
              <w:spacing w:after="120" w:line="252" w:lineRule="auto"/>
              <w:ind w:firstLine="284"/>
              <w:rPr>
                <w:b/>
                <w:bCs/>
                <w:u w:val="single"/>
                <w:lang w:eastAsia="ja-JP"/>
              </w:rPr>
            </w:pPr>
            <w:r>
              <w:rPr>
                <w:b/>
                <w:bCs/>
                <w:u w:val="single"/>
                <w:lang w:eastAsia="ja-JP"/>
              </w:rPr>
              <w:t>Agreement:</w:t>
            </w:r>
          </w:p>
          <w:p>
            <w:pPr>
              <w:pStyle w:val="72"/>
              <w:numPr>
                <w:ilvl w:val="0"/>
                <w:numId w:val="5"/>
              </w:numPr>
              <w:ind w:left="644" w:firstLineChars="0"/>
              <w:rPr>
                <w:lang w:eastAsia="ja-JP"/>
              </w:rPr>
            </w:pPr>
            <w:r>
              <w:rPr>
                <w:lang w:eastAsia="ja-JP"/>
              </w:rPr>
              <w:t>RAN4 to consider the following numerologies for RRM requirement definition for NR-NTN above 10 GHz bands:</w:t>
            </w:r>
          </w:p>
          <w:p>
            <w:pPr>
              <w:pStyle w:val="72"/>
              <w:numPr>
                <w:ilvl w:val="1"/>
                <w:numId w:val="5"/>
              </w:numPr>
              <w:ind w:left="1364" w:firstLineChars="0"/>
              <w:rPr>
                <w:lang w:eastAsia="ja-JP"/>
              </w:rPr>
            </w:pPr>
            <w:r>
              <w:rPr>
                <w:lang w:eastAsia="ja-JP"/>
              </w:rPr>
              <w:t>Consider SSB SCS larger than 30kHz, i.e. 120kHz and 240kHz</w:t>
            </w:r>
          </w:p>
          <w:p>
            <w:pPr>
              <w:pStyle w:val="72"/>
              <w:numPr>
                <w:ilvl w:val="1"/>
                <w:numId w:val="5"/>
              </w:numPr>
              <w:ind w:left="1364" w:firstLineChars="0"/>
              <w:rPr>
                <w:lang w:eastAsia="ja-JP"/>
              </w:rPr>
            </w:pPr>
            <w:r>
              <w:rPr>
                <w:lang w:eastAsia="ja-JP"/>
              </w:rPr>
              <w:t>Consider UL SCS larger than 30kHz, i.e. 60kHz and 120kHz</w:t>
            </w:r>
          </w:p>
          <w:p>
            <w:pPr>
              <w:pStyle w:val="72"/>
              <w:numPr>
                <w:ilvl w:val="0"/>
                <w:numId w:val="5"/>
              </w:numPr>
              <w:ind w:left="644" w:firstLineChars="0"/>
              <w:rPr>
                <w:lang w:eastAsia="ja-JP"/>
              </w:rPr>
            </w:pPr>
            <w:r>
              <w:rPr>
                <w:lang w:eastAsia="ja-JP"/>
              </w:rPr>
              <w:t>RAN4 to send an LS to RAN1 and RAN2</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eastAsia="宋体" w:cs="Times New Roman"/>
                <w:sz w:val="22"/>
                <w:vertAlign w:val="baseline"/>
                <w:lang w:val="en-US" w:eastAsia="zh-CN"/>
              </w:rPr>
            </w:pPr>
          </w:p>
          <w:p>
            <w:pPr>
              <w:outlineLvl w:val="2"/>
              <w:rPr>
                <w:b/>
                <w:u w:val="single"/>
                <w:lang w:eastAsia="ko-KR"/>
              </w:rPr>
            </w:pPr>
            <w:r>
              <w:rPr>
                <w:b/>
                <w:u w:val="single"/>
                <w:lang w:eastAsia="ko-KR"/>
              </w:rPr>
              <w:t>Issue 2-3: Measurement and Mobility Requirements in NR-NTN above 10 GHz bands</w:t>
            </w:r>
          </w:p>
          <w:p>
            <w:pPr>
              <w:spacing w:after="120" w:line="252" w:lineRule="auto"/>
              <w:ind w:firstLine="284"/>
              <w:rPr>
                <w:b/>
                <w:bCs/>
                <w:u w:val="single"/>
                <w:lang w:eastAsia="ja-JP"/>
              </w:rPr>
            </w:pPr>
            <w:r>
              <w:rPr>
                <w:b/>
                <w:bCs/>
                <w:u w:val="single"/>
                <w:lang w:eastAsia="ja-JP"/>
              </w:rPr>
              <w:t>Agreement:</w:t>
            </w:r>
          </w:p>
          <w:p>
            <w:pPr>
              <w:pStyle w:val="72"/>
              <w:numPr>
                <w:ilvl w:val="0"/>
                <w:numId w:val="5"/>
              </w:numPr>
              <w:ind w:left="644" w:firstLineChars="0"/>
              <w:rPr>
                <w:lang w:eastAsia="ja-JP"/>
              </w:rPr>
            </w:pPr>
            <w:r>
              <w:rPr>
                <w:lang w:eastAsia="ja-JP"/>
              </w:rPr>
              <w:t>Do not define requirements for mobility between NTN Ka band and NTN FR1 for Rel-18</w:t>
            </w:r>
          </w:p>
          <w:p>
            <w:pPr>
              <w:pStyle w:val="72"/>
              <w:numPr>
                <w:ilvl w:val="0"/>
                <w:numId w:val="5"/>
              </w:numPr>
              <w:ind w:left="644" w:firstLineChars="0"/>
              <w:rPr>
                <w:rFonts w:hint="default" w:eastAsia="宋体" w:cs="Times New Roman"/>
                <w:sz w:val="22"/>
                <w:vertAlign w:val="baseline"/>
                <w:lang w:val="en-US" w:eastAsia="zh-CN"/>
              </w:rPr>
            </w:pPr>
            <w:r>
              <w:rPr>
                <w:lang w:eastAsia="ja-JP"/>
              </w:rPr>
              <w:t>Do not define requirements for mobility between NTN Ka band and TN in FR1 or FR2 for Rel-18</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In </w:t>
      </w:r>
      <w:r>
        <w:rPr>
          <w:rFonts w:hint="eastAsia" w:eastAsia="宋体" w:cs="Times New Roman"/>
          <w:b/>
          <w:bCs/>
          <w:sz w:val="22"/>
          <w:lang w:val="en-US" w:eastAsia="zh-CN"/>
        </w:rPr>
        <w:t>TS38.101-5</w:t>
      </w:r>
      <w:r>
        <w:rPr>
          <w:rFonts w:hint="eastAsia" w:eastAsia="宋体" w:cs="Times New Roman"/>
          <w:sz w:val="22"/>
          <w:lang w:val="en-US" w:eastAsia="zh-CN"/>
        </w:rPr>
        <w:t>, the RF session has been approved  two bands as below:</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center"/>
        <w:textAlignment w:val="baseline"/>
        <w:rPr>
          <w:rFonts w:hint="default" w:eastAsia="宋体" w:cs="Times New Roman"/>
          <w:b/>
          <w:bCs/>
          <w:sz w:val="22"/>
          <w:lang w:val="en-US" w:eastAsia="zh-CN"/>
        </w:rPr>
      </w:pPr>
      <w:r>
        <w:rPr>
          <w:rFonts w:hint="eastAsia" w:eastAsia="宋体" w:cs="Times New Roman"/>
          <w:b/>
          <w:bCs/>
          <w:sz w:val="22"/>
          <w:lang w:val="en-US" w:eastAsia="zh-CN"/>
        </w:rPr>
        <w:t>Table 5.2.2-1: NTN satellite bands in FR1</w:t>
      </w:r>
    </w:p>
    <w:tbl>
      <w:tblPr>
        <w:tblStyle w:val="2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92"/>
        <w:gridCol w:w="3818"/>
        <w:gridCol w:w="3840"/>
        <w:gridCol w:w="8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NTN satellite</w:t>
            </w:r>
            <w:r>
              <w:rPr>
                <w:rFonts w:ascii="Arial" w:hAnsi="Arial" w:eastAsia="宋体"/>
                <w:b/>
                <w:sz w:val="18"/>
                <w:lang w:val="en-US" w:eastAsia="zh-CN"/>
              </w:rPr>
              <w:t xml:space="preserve"> operating </w:t>
            </w:r>
            <w:r>
              <w:rPr>
                <w:rFonts w:ascii="Arial" w:hAnsi="Arial" w:eastAsia="宋体"/>
                <w:b/>
                <w:sz w:val="18"/>
                <w:lang w:eastAsia="zh-CN"/>
              </w:rPr>
              <w:t>band</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Uplink (UL) operating band</w:t>
            </w:r>
            <w:r>
              <w:rPr>
                <w:rFonts w:ascii="Arial" w:hAnsi="Arial" w:eastAsia="宋体"/>
                <w:b/>
                <w:sz w:val="18"/>
                <w:lang w:val="en-US" w:eastAsia="zh-CN"/>
              </w:rPr>
              <w:br w:type="textWrapping"/>
            </w:r>
            <w:r>
              <w:rPr>
                <w:rFonts w:ascii="Arial" w:hAnsi="Arial" w:eastAsia="宋体"/>
                <w:b/>
                <w:sz w:val="18"/>
                <w:lang w:val="en-US" w:eastAsia="zh-CN"/>
              </w:rPr>
              <w:t>Satellite Access Node receive / UE transmit</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UL,low</w:t>
            </w:r>
            <w:r>
              <w:rPr>
                <w:rFonts w:ascii="Arial" w:hAnsi="Arial" w:eastAsia="宋体"/>
                <w:b/>
                <w:sz w:val="18"/>
                <w:lang w:eastAsia="zh-CN"/>
              </w:rPr>
              <w:t xml:space="preserve">   –  F</w:t>
            </w:r>
            <w:r>
              <w:rPr>
                <w:rFonts w:ascii="Arial" w:hAnsi="Arial" w:eastAsia="宋体"/>
                <w:b/>
                <w:sz w:val="18"/>
                <w:vertAlign w:val="subscript"/>
                <w:lang w:eastAsia="zh-CN"/>
              </w:rPr>
              <w:t>UL,high</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val="en-US" w:eastAsia="zh-CN"/>
              </w:rPr>
            </w:pPr>
            <w:r>
              <w:rPr>
                <w:rFonts w:ascii="Arial" w:hAnsi="Arial" w:eastAsia="宋体"/>
                <w:b/>
                <w:sz w:val="18"/>
                <w:lang w:val="en-US" w:eastAsia="zh-CN"/>
              </w:rPr>
              <w:t>Downlink (DL) operating band</w:t>
            </w:r>
            <w:r>
              <w:rPr>
                <w:rFonts w:ascii="Arial" w:hAnsi="Arial" w:eastAsia="宋体"/>
                <w:b/>
                <w:sz w:val="18"/>
                <w:lang w:val="en-US" w:eastAsia="zh-CN"/>
              </w:rPr>
              <w:br w:type="textWrapping"/>
            </w:r>
            <w:r>
              <w:rPr>
                <w:rFonts w:ascii="Arial" w:hAnsi="Arial" w:eastAsia="宋体"/>
                <w:b/>
                <w:sz w:val="18"/>
                <w:lang w:val="en-US" w:eastAsia="zh-CN"/>
              </w:rPr>
              <w:t>Satellite Access Node transmit / UE receive</w:t>
            </w:r>
          </w:p>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F</w:t>
            </w:r>
            <w:r>
              <w:rPr>
                <w:rFonts w:ascii="Arial" w:hAnsi="Arial" w:eastAsia="宋体"/>
                <w:b/>
                <w:sz w:val="18"/>
                <w:vertAlign w:val="subscript"/>
                <w:lang w:eastAsia="zh-CN"/>
              </w:rPr>
              <w:t>DL,low</w:t>
            </w:r>
            <w:r>
              <w:rPr>
                <w:rFonts w:ascii="Arial" w:hAnsi="Arial" w:eastAsia="宋体"/>
                <w:b/>
                <w:sz w:val="18"/>
                <w:lang w:eastAsia="zh-CN"/>
              </w:rPr>
              <w:t xml:space="preserve">   –  F</w:t>
            </w:r>
            <w:r>
              <w:rPr>
                <w:rFonts w:ascii="Arial" w:hAnsi="Arial" w:eastAsia="宋体"/>
                <w:b/>
                <w:sz w:val="18"/>
                <w:vertAlign w:val="subscript"/>
                <w:lang w:eastAsia="zh-CN"/>
              </w:rPr>
              <w:t>DL,high</w:t>
            </w:r>
            <w:r>
              <w:rPr>
                <w:rFonts w:ascii="Arial" w:hAnsi="Arial" w:eastAsia="宋体"/>
                <w:b/>
                <w:bCs/>
                <w:sz w:val="18"/>
                <w:lang w:eastAsia="zh-CN"/>
              </w:rPr>
              <w:t xml:space="preserve"> </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b/>
                <w:sz w:val="18"/>
                <w:lang w:eastAsia="zh-CN"/>
              </w:rPr>
            </w:pPr>
            <w:r>
              <w:rPr>
                <w:rFonts w:ascii="Arial" w:hAnsi="Arial" w:eastAsia="宋体"/>
                <w:b/>
                <w:sz w:val="18"/>
                <w:lang w:eastAsia="zh-CN"/>
              </w:rPr>
              <w:t>Duplex mode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n256</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1980</w:t>
            </w:r>
            <w:r>
              <w:rPr>
                <w:rFonts w:hint="eastAsia" w:ascii="Arial" w:hAnsi="Arial" w:eastAsia="宋体"/>
                <w:sz w:val="18"/>
                <w:lang w:val="en-US" w:eastAsia="zh-CN"/>
              </w:rPr>
              <w:t>MHz</w:t>
            </w:r>
            <w:r>
              <w:rPr>
                <w:rFonts w:ascii="Arial" w:hAnsi="Arial" w:eastAsia="宋体"/>
                <w:sz w:val="18"/>
                <w:lang w:eastAsia="zh-CN"/>
              </w:rPr>
              <w:t xml:space="preserve"> – 2010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2170 MHz</w:t>
            </w:r>
            <w:r>
              <w:rPr>
                <w:rFonts w:hint="eastAsia" w:ascii="Arial" w:hAnsi="Arial" w:eastAsia="宋体"/>
                <w:sz w:val="18"/>
                <w:lang w:val="en-US" w:eastAsia="zh-CN"/>
              </w:rPr>
              <w:t xml:space="preserve"> </w:t>
            </w:r>
            <w:r>
              <w:rPr>
                <w:rFonts w:ascii="Arial" w:hAnsi="Arial" w:eastAsia="宋体"/>
                <w:sz w:val="18"/>
                <w:lang w:eastAsia="zh-CN"/>
              </w:rPr>
              <w:t>–</w:t>
            </w:r>
            <w:r>
              <w:rPr>
                <w:rFonts w:hint="eastAsia" w:ascii="Arial" w:hAnsi="Arial" w:eastAsia="宋体"/>
                <w:sz w:val="18"/>
                <w:lang w:val="en-US" w:eastAsia="zh-CN"/>
              </w:rPr>
              <w:t xml:space="preserve"> </w:t>
            </w:r>
            <w:r>
              <w:rPr>
                <w:rFonts w:ascii="Arial" w:hAnsi="Arial" w:eastAsia="宋体"/>
                <w:sz w:val="18"/>
                <w:lang w:eastAsia="zh-CN"/>
              </w:rPr>
              <w:t>2200 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92"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hint="eastAsia" w:ascii="Arial" w:hAnsi="Arial" w:eastAsia="宋体"/>
                <w:sz w:val="18"/>
                <w:lang w:eastAsia="zh-CN"/>
              </w:rPr>
              <w:t>n255</w:t>
            </w:r>
          </w:p>
        </w:tc>
        <w:tc>
          <w:tcPr>
            <w:tcW w:w="3818" w:type="dxa"/>
            <w:shd w:val="clear" w:color="auto" w:fill="auto"/>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1626.5 MHz – 1660.5 MHz</w:t>
            </w:r>
          </w:p>
        </w:tc>
        <w:tc>
          <w:tcPr>
            <w:tcW w:w="3840"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1525 MHz – 1559</w:t>
            </w:r>
            <w:r>
              <w:rPr>
                <w:rFonts w:hint="eastAsia" w:ascii="Arial" w:hAnsi="Arial" w:eastAsia="宋体"/>
                <w:sz w:val="18"/>
                <w:lang w:eastAsia="zh-CN"/>
              </w:rPr>
              <w:t xml:space="preserve"> </w:t>
            </w:r>
            <w:r>
              <w:rPr>
                <w:rFonts w:ascii="Arial" w:hAnsi="Arial" w:eastAsia="宋体"/>
                <w:sz w:val="18"/>
                <w:lang w:eastAsia="zh-CN"/>
              </w:rPr>
              <w:t>MHz</w:t>
            </w:r>
          </w:p>
        </w:tc>
        <w:tc>
          <w:tcPr>
            <w:tcW w:w="886" w:type="dxa"/>
          </w:tcPr>
          <w:p>
            <w:pPr>
              <w:keepNext/>
              <w:keepLines/>
              <w:overflowPunct w:val="0"/>
              <w:autoSpaceDE w:val="0"/>
              <w:autoSpaceDN w:val="0"/>
              <w:adjustRightInd w:val="0"/>
              <w:spacing w:before="0" w:beforeLines="0" w:after="0" w:afterLines="0"/>
              <w:jc w:val="center"/>
              <w:textAlignment w:val="baseline"/>
              <w:rPr>
                <w:rFonts w:ascii="Arial" w:hAnsi="Arial" w:eastAsia="宋体"/>
                <w:sz w:val="18"/>
                <w:lang w:eastAsia="zh-CN"/>
              </w:rPr>
            </w:pPr>
            <w:r>
              <w:rPr>
                <w:rFonts w:ascii="Arial" w:hAnsi="Arial" w:eastAsia="宋体"/>
                <w:sz w:val="18"/>
                <w:lang w:eastAsia="zh-CN"/>
              </w:rPr>
              <w:t>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736" w:type="dxa"/>
            <w:gridSpan w:val="4"/>
            <w:shd w:val="clear" w:color="auto" w:fill="auto"/>
          </w:tcPr>
          <w:p>
            <w:pPr>
              <w:keepNext/>
              <w:keepLines/>
              <w:overflowPunct w:val="0"/>
              <w:autoSpaceDE w:val="0"/>
              <w:autoSpaceDN w:val="0"/>
              <w:adjustRightInd w:val="0"/>
              <w:spacing w:before="0" w:beforeLines="0" w:after="0" w:afterLines="0"/>
              <w:ind w:left="851" w:hanging="851"/>
              <w:textAlignment w:val="baseline"/>
              <w:rPr>
                <w:rFonts w:ascii="Arial" w:hAnsi="Arial" w:eastAsia="宋体"/>
                <w:b/>
                <w:sz w:val="18"/>
                <w:lang w:eastAsia="ja-JP"/>
              </w:rPr>
            </w:pPr>
            <w:r>
              <w:rPr>
                <w:rFonts w:hint="eastAsia" w:ascii="Arial" w:hAnsi="Arial" w:eastAsia="宋体"/>
                <w:sz w:val="18"/>
                <w:lang w:eastAsia="zh-CN"/>
              </w:rPr>
              <w:t>NOTE:</w:t>
            </w:r>
            <w:r>
              <w:rPr>
                <w:rFonts w:ascii="Arial" w:hAnsi="Arial" w:eastAsia="宋体"/>
                <w:sz w:val="18"/>
                <w:lang w:eastAsia="zh-CN"/>
              </w:rPr>
              <w:t xml:space="preserve"> </w:t>
            </w:r>
            <w:r>
              <w:rPr>
                <w:rFonts w:ascii="Arial" w:hAnsi="Arial" w:eastAsia="宋体"/>
                <w:sz w:val="18"/>
                <w:lang w:eastAsia="zh-CN"/>
              </w:rPr>
              <w:tab/>
            </w:r>
            <w:r>
              <w:rPr>
                <w:rFonts w:hint="eastAsia" w:ascii="Arial" w:hAnsi="Arial" w:eastAsia="宋体"/>
                <w:sz w:val="18"/>
                <w:lang w:eastAsia="zh-CN"/>
              </w:rPr>
              <w:t xml:space="preserve">NTN </w:t>
            </w:r>
            <w:r>
              <w:rPr>
                <w:rFonts w:ascii="Arial" w:hAnsi="Arial" w:eastAsia="宋体"/>
                <w:sz w:val="18"/>
                <w:lang w:eastAsia="zh-CN"/>
              </w:rPr>
              <w:t xml:space="preserve">satellite </w:t>
            </w:r>
            <w:r>
              <w:rPr>
                <w:rFonts w:hint="eastAsia" w:ascii="Arial" w:hAnsi="Arial" w:eastAsia="宋体"/>
                <w:sz w:val="18"/>
                <w:lang w:eastAsia="zh-CN"/>
              </w:rPr>
              <w:t xml:space="preserve">bands are numbered in </w:t>
            </w:r>
            <w:r>
              <w:rPr>
                <w:rFonts w:ascii="Arial" w:hAnsi="Arial" w:eastAsia="宋体"/>
                <w:sz w:val="18"/>
                <w:lang w:eastAsia="zh-CN"/>
              </w:rPr>
              <w:t>descending</w:t>
            </w:r>
            <w:r>
              <w:rPr>
                <w:rFonts w:hint="eastAsia" w:ascii="Arial" w:hAnsi="Arial" w:eastAsia="宋体"/>
                <w:sz w:val="18"/>
                <w:lang w:eastAsia="zh-CN"/>
              </w:rPr>
              <w:t xml:space="preserve"> order from n256.</w:t>
            </w: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As the table shows us that NTN satellite bands in FR1 and in R17 NR NTN the RRM requirements are defined based on n256 and n255 bands, that is, FR1 scenario. In R18 NR NTN, the revised WI suggests us  study the in above 10GHz, based on above we think the current requirements doesn</w:t>
      </w:r>
      <w:r>
        <w:rPr>
          <w:rFonts w:hint="default" w:eastAsia="宋体" w:cs="Times New Roman"/>
          <w:sz w:val="22"/>
          <w:lang w:val="en-US" w:eastAsia="zh-CN"/>
        </w:rPr>
        <w:t>’</w:t>
      </w:r>
      <w:r>
        <w:rPr>
          <w:rFonts w:hint="eastAsia" w:eastAsia="宋体" w:cs="Times New Roman"/>
          <w:sz w:val="22"/>
          <w:lang w:val="en-US" w:eastAsia="zh-CN"/>
        </w:rPr>
        <w:t xml:space="preserve">t fit. The potential RRM requirements should be difined, but first of all the scope should also be clarified. For NTN-Ka bands, measurements and handover etc. should be studied in Ka bands, on the contrary, the band between FR1 and NTN-Ka bands are not included in this WI. </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The potential RRM impacts on the following requirements are presented:</w:t>
      </w:r>
    </w:p>
    <w:p>
      <w:pPr>
        <w:numPr>
          <w:ilvl w:val="0"/>
          <w:numId w:val="6"/>
        </w:numPr>
        <w:ind w:left="420" w:leftChars="0" w:hanging="420" w:firstLineChars="0"/>
        <w:rPr>
          <w:lang w:eastAsia="ja-JP"/>
        </w:rPr>
      </w:pPr>
      <w:r>
        <w:rPr>
          <w:lang w:eastAsia="ja-JP"/>
        </w:rPr>
        <w:t>Rx beam sweeping</w:t>
      </w:r>
    </w:p>
    <w:p>
      <w:pPr>
        <w:numPr>
          <w:ilvl w:val="0"/>
          <w:numId w:val="6"/>
        </w:numPr>
        <w:ind w:left="420" w:leftChars="0" w:hanging="420" w:firstLineChars="0"/>
        <w:rPr>
          <w:lang w:eastAsia="ja-JP"/>
        </w:rPr>
      </w:pPr>
      <w:r>
        <w:rPr>
          <w:lang w:eastAsia="ja-JP"/>
        </w:rPr>
        <w:t>Timing requirements</w:t>
      </w:r>
    </w:p>
    <w:p>
      <w:pPr>
        <w:numPr>
          <w:ilvl w:val="0"/>
          <w:numId w:val="6"/>
        </w:numPr>
        <w:ind w:left="420" w:leftChars="0" w:hanging="420" w:firstLineChars="0"/>
        <w:rPr>
          <w:lang w:eastAsia="ja-JP"/>
        </w:rPr>
      </w:pPr>
      <w:r>
        <w:rPr>
          <w:lang w:eastAsia="ja-JP"/>
        </w:rPr>
        <w:t>Link-budget in NTN-Ka bands</w:t>
      </w:r>
    </w:p>
    <w:p>
      <w:pPr>
        <w:numPr>
          <w:ilvl w:val="0"/>
          <w:numId w:val="6"/>
        </w:numPr>
        <w:ind w:left="420" w:leftChars="0" w:hanging="420" w:firstLineChars="0"/>
        <w:rPr>
          <w:lang w:eastAsia="ja-JP"/>
        </w:rPr>
      </w:pPr>
      <w:r>
        <w:rPr>
          <w:lang w:eastAsia="ja-JP"/>
        </w:rPr>
        <w:t>Cell re</w:t>
      </w:r>
      <w:r>
        <w:rPr>
          <w:rFonts w:hint="eastAsia" w:eastAsia="宋体"/>
          <w:lang w:val="en-US" w:eastAsia="zh-CN"/>
        </w:rPr>
        <w:t>-</w:t>
      </w:r>
      <w:r>
        <w:rPr>
          <w:lang w:eastAsia="ja-JP"/>
        </w:rPr>
        <w:t>selection</w:t>
      </w:r>
    </w:p>
    <w:p>
      <w:pPr>
        <w:numPr>
          <w:ilvl w:val="0"/>
          <w:numId w:val="6"/>
        </w:numPr>
        <w:ind w:left="420" w:leftChars="0" w:hanging="420" w:firstLineChars="0"/>
        <w:rPr>
          <w:lang w:eastAsia="ja-JP"/>
        </w:rPr>
      </w:pPr>
      <w:r>
        <w:rPr>
          <w:lang w:eastAsia="ja-JP"/>
        </w:rPr>
        <w:t>Handover</w:t>
      </w:r>
    </w:p>
    <w:p>
      <w:pPr>
        <w:numPr>
          <w:ilvl w:val="0"/>
          <w:numId w:val="6"/>
        </w:numPr>
        <w:ind w:left="420" w:leftChars="0" w:hanging="420" w:firstLineChars="0"/>
        <w:rPr>
          <w:lang w:eastAsia="ja-JP"/>
        </w:rPr>
      </w:pPr>
      <w:r>
        <w:rPr>
          <w:lang w:eastAsia="ja-JP"/>
        </w:rPr>
        <w:t>RLM and LR</w:t>
      </w:r>
    </w:p>
    <w:p>
      <w:pPr>
        <w:numPr>
          <w:ilvl w:val="0"/>
          <w:numId w:val="6"/>
        </w:numPr>
        <w:ind w:left="420" w:leftChars="0" w:hanging="420" w:firstLineChars="0"/>
        <w:rPr>
          <w:lang w:eastAsia="ja-JP"/>
        </w:rPr>
      </w:pPr>
      <w:r>
        <w:rPr>
          <w:lang w:eastAsia="ja-JP"/>
        </w:rPr>
        <w:t>Measurements</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 xml:space="preserve">Proposal 1: The current requirements for FR1 shall be the baseline or the starting point when RAN4 defines the requirements for NR NTN in above 10GHz. </w:t>
      </w:r>
    </w:p>
    <w:p>
      <w:pPr>
        <w:rPr>
          <w:rFonts w:hint="eastAsia"/>
          <w:lang w:val="en-US" w:eastAsia="zh-CN"/>
        </w:rPr>
      </w:pPr>
    </w:p>
    <w:p>
      <w:pPr>
        <w:pStyle w:val="78"/>
        <w:numPr>
          <w:ilvl w:val="1"/>
          <w:numId w:val="0"/>
        </w:numPr>
        <w:bidi w:val="0"/>
        <w:ind w:left="640" w:hanging="640" w:hangingChars="200"/>
        <w:jc w:val="both"/>
        <w:rPr>
          <w:rFonts w:hint="eastAsia"/>
          <w:sz w:val="28"/>
          <w:szCs w:val="18"/>
          <w:lang w:val="en-US" w:eastAsia="zh-CN"/>
        </w:rPr>
      </w:pPr>
      <w:r>
        <w:rPr>
          <w:rFonts w:hint="eastAsia"/>
          <w:lang w:val="en-US" w:eastAsia="zh-CN"/>
        </w:rPr>
        <w:t xml:space="preserve">2.3 </w:t>
      </w:r>
      <w:r>
        <w:rPr>
          <w:rFonts w:hint="eastAsia"/>
          <w:sz w:val="28"/>
          <w:szCs w:val="18"/>
          <w:lang w:val="en-US" w:eastAsia="zh-CN"/>
        </w:rPr>
        <w:t>NTN-TN and NTN-NTN mobility and service continuity enhancements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sz w:val="22"/>
          <w:szCs w:val="22"/>
          <w:lang w:val="en-US" w:eastAsia="zh-CN"/>
        </w:rPr>
      </w:pPr>
      <w:r>
        <w:rPr>
          <w:rFonts w:hint="eastAsia"/>
          <w:sz w:val="22"/>
          <w:szCs w:val="22"/>
          <w:lang w:val="en-US" w:eastAsia="zh-CN"/>
        </w:rPr>
        <w:t>In the latest WID as below, for NTN-NTN and NTN-TN these two scenarios, RAN4 mainly focuses on the cell re-selection enhancement (to reduce the power consumption). we firstly clarify the scope for this topic and analyse the different scenarios based on the WID.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29" w:type="dxa"/>
          </w:tcPr>
          <w:p>
            <w:pPr>
              <w:spacing w:after="0"/>
              <w:rPr>
                <w:bCs/>
              </w:rPr>
            </w:pPr>
            <w:r>
              <w:rPr>
                <w:bCs/>
              </w:rPr>
              <w:t>This work considers existing methods from NR TN as well as outcome of Rel-17 NR NTN WI outcome as baseline for NTN-TN mobility.</w:t>
            </w:r>
          </w:p>
          <w:p>
            <w:pPr>
              <w:spacing w:after="0"/>
              <w:rPr>
                <w:bCs/>
              </w:rPr>
            </w:pPr>
          </w:p>
          <w:p>
            <w:pPr>
              <w:numPr>
                <w:ilvl w:val="0"/>
                <w:numId w:val="7"/>
              </w:numPr>
              <w:spacing w:after="0"/>
              <w:rPr>
                <w:bCs/>
              </w:rPr>
            </w:pPr>
            <w:r>
              <w:rPr>
                <w:bCs/>
              </w:rPr>
              <w:t>Specify NTN-TN and NTN-NTN measurement/mobility and service continuity enhancements [RAN2,RAN3,RAN4]</w:t>
            </w:r>
          </w:p>
          <w:p>
            <w:pPr>
              <w:numPr>
                <w:ilvl w:val="1"/>
                <w:numId w:val="7"/>
              </w:numPr>
              <w:spacing w:after="0"/>
              <w:rPr>
                <w:bCs/>
                <w:highlight w:val="cyan"/>
              </w:rPr>
            </w:pPr>
            <w:r>
              <w:rPr>
                <w:bCs/>
                <w:highlight w:val="cyan"/>
              </w:rPr>
              <w:t>For NTN-NTN mobility, specify cell reselection enhancements for earth moving cell, the timing based and location-based cell reselection for quasi-earth fixed cell in Rel-17 can be considered as the starting point. [RAN2, RAN3, RAN4]</w:t>
            </w:r>
          </w:p>
          <w:p>
            <w:pPr>
              <w:numPr>
                <w:ilvl w:val="1"/>
                <w:numId w:val="7"/>
              </w:numPr>
              <w:spacing w:after="0"/>
              <w:rPr>
                <w:bCs/>
                <w:highlight w:val="cyan"/>
              </w:rPr>
            </w:pPr>
            <w:r>
              <w:rPr>
                <w:bCs/>
                <w:highlight w:val="cyan"/>
              </w:rPr>
              <w:t>Specify cell reselection enhancements for RRC_IDLE/INACTIVE UEs to reduce UE power consumption</w:t>
            </w:r>
            <w:r>
              <w:rPr>
                <w:b/>
                <w:bCs w:val="0"/>
                <w:highlight w:val="cyan"/>
              </w:rPr>
              <w:t xml:space="preserve"> (NTN-TN mobility is prioritized)</w:t>
            </w:r>
            <w:r>
              <w:rPr>
                <w:bCs/>
                <w:highlight w:val="cyan"/>
              </w:rPr>
              <w:t>. [RAN2, RAN3, RAN4]</w:t>
            </w:r>
          </w:p>
          <w:p>
            <w:pPr>
              <w:numPr>
                <w:ilvl w:val="0"/>
                <w:numId w:val="0"/>
              </w:numPr>
              <w:spacing w:after="0"/>
              <w:ind w:left="360" w:leftChars="0"/>
              <w:rPr>
                <w:rFonts w:ascii="Times New Roman" w:hAnsi="Times New Roman" w:eastAsia="宋体" w:cs="Times New Roman"/>
                <w:kern w:val="0"/>
                <w:sz w:val="20"/>
                <w:szCs w:val="20"/>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sz w:val="22"/>
          <w:lang w:val="en-US" w:eastAsia="zh-CN"/>
        </w:rPr>
        <w:t>First of all, we need to clarify the scope:</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In this WI only single carrier is supported;</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cell re-selection enhancements for RRC_IDLE/INACTIVE for NTN-TN and NTN-NTN scenario are supported, the TN-NTN scenario;</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 The RRC_CONNECTED state related issues are not included in this WI;</w:t>
      </w:r>
    </w:p>
    <w:p>
      <w:pPr>
        <w:keepNext w:val="0"/>
        <w:keepLines w:val="0"/>
        <w:pageBreakBefore w:val="0"/>
        <w:widowControl/>
        <w:numPr>
          <w:ilvl w:val="0"/>
          <w:numId w:val="8"/>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The mobility issues mainly towards the earth moving cell such as NGSO (LEO, MEO).</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eastAsia" w:eastAsia="宋体" w:cs="Times New Roman"/>
          <w:b/>
          <w:bCs/>
          <w:sz w:val="22"/>
          <w:lang w:val="en-US" w:eastAsia="zh-CN"/>
        </w:rPr>
        <w:t>For the first bullet,</w:t>
      </w:r>
      <w:r>
        <w:rPr>
          <w:rFonts w:hint="eastAsia" w:eastAsia="宋体" w:cs="Times New Roman"/>
          <w:sz w:val="22"/>
          <w:lang w:val="en-US" w:eastAsia="zh-CN"/>
        </w:rPr>
        <w:t xml:space="preserve"> in R17 we defined and studied requirements for cell re-selection which are applied for the quasi-earth fixed scenario, the time based and location based were discussed, based on the clarified scope, the cell re-selection enhancement for earth moving scenario will be studied in this meeting.</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eastAsia="宋体" w:cs="Times New Roman"/>
          <w:sz w:val="22"/>
          <w:lang w:val="en-US" w:eastAsia="zh-CN"/>
        </w:rPr>
      </w:pPr>
      <w:r>
        <w:rPr>
          <w:rFonts w:hint="default" w:eastAsia="宋体" w:cs="Times New Roman"/>
          <w:sz w:val="22"/>
          <w:lang w:val="en-US" w:eastAsia="zh-CN"/>
        </w:rPr>
        <w:t xml:space="preserve">This is mainly a progress based on RAN2 </w:t>
      </w:r>
      <w:r>
        <w:rPr>
          <w:rFonts w:hint="eastAsia" w:eastAsia="宋体" w:cs="Times New Roman"/>
          <w:sz w:val="22"/>
          <w:lang w:val="en-US" w:eastAsia="zh-CN"/>
        </w:rPr>
        <w:t>progress</w:t>
      </w:r>
      <w:r>
        <w:rPr>
          <w:rFonts w:hint="default" w:eastAsia="宋体" w:cs="Times New Roman"/>
          <w:sz w:val="22"/>
          <w:lang w:val="en-US" w:eastAsia="zh-CN"/>
        </w:rPr>
        <w:t>. For NTN-NTN mobility</w:t>
      </w:r>
      <w:r>
        <w:rPr>
          <w:rFonts w:hint="eastAsia" w:eastAsia="宋体" w:cs="Times New Roman"/>
          <w:sz w:val="22"/>
          <w:lang w:val="en-US" w:eastAsia="zh-CN"/>
        </w:rPr>
        <w:t>:</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3" w:hRule="atLeast"/>
        </w:trPr>
        <w:tc>
          <w:tcPr>
            <w:tcW w:w="13080" w:type="dxa"/>
          </w:tcPr>
          <w:p>
            <w:pPr>
              <w:pStyle w:val="21"/>
              <w:numPr>
                <w:ilvl w:val="0"/>
                <w:numId w:val="0"/>
              </w:numPr>
              <w:overflowPunct w:val="0"/>
              <w:autoSpaceDE w:val="0"/>
              <w:autoSpaceDN w:val="0"/>
              <w:adjustRightInd w:val="0"/>
              <w:ind w:left="29" w:leftChars="0"/>
              <w:jc w:val="both"/>
              <w:textAlignment w:val="baseline"/>
              <w:rPr>
                <w:rFonts w:hint="default" w:eastAsia="宋体"/>
                <w:b/>
                <w:bCs/>
                <w:sz w:val="21"/>
                <w:szCs w:val="21"/>
                <w:lang w:val="en-US" w:eastAsia="zh-CN"/>
              </w:rPr>
            </w:pPr>
            <w:r>
              <w:rPr>
                <w:rFonts w:hint="eastAsia" w:eastAsia="宋体"/>
                <w:b/>
                <w:bCs/>
                <w:sz w:val="21"/>
                <w:szCs w:val="21"/>
                <w:lang w:val="en-US" w:eastAsia="zh-CN"/>
              </w:rPr>
              <w:t>In RAN2 #119bis meeting:</w:t>
            </w:r>
          </w:p>
          <w:p>
            <w:pPr>
              <w:pStyle w:val="21"/>
              <w:numPr>
                <w:ilvl w:val="0"/>
                <w:numId w:val="9"/>
              </w:numPr>
              <w:overflowPunct w:val="0"/>
              <w:autoSpaceDE w:val="0"/>
              <w:autoSpaceDN w:val="0"/>
              <w:adjustRightInd w:val="0"/>
              <w:ind w:left="420" w:leftChars="0" w:hanging="420" w:firstLineChars="0"/>
              <w:jc w:val="both"/>
              <w:textAlignment w:val="baseline"/>
              <w:rPr>
                <w:lang w:val="en-US" w:eastAsia="ko-KR"/>
              </w:rPr>
            </w:pPr>
            <w:r>
              <w:rPr>
                <w:lang w:val="en-US" w:eastAsia="ko-KR"/>
              </w:rPr>
              <w:t>For NTN-NTN cell reselection with earth moving cell, RAN2 will consider providing parameters of serving cell to UE, for UE to estimate when the serving cell stops providing coverage at the present UE location (FFS whether this will be an optional UE feature) (this does not exclude any time-based or location-based approach) (other solutions can also be considered)</w:t>
            </w:r>
          </w:p>
          <w:p>
            <w:pPr>
              <w:pStyle w:val="21"/>
              <w:numPr>
                <w:ilvl w:val="0"/>
                <w:numId w:val="9"/>
              </w:numPr>
              <w:overflowPunct w:val="0"/>
              <w:autoSpaceDE w:val="0"/>
              <w:autoSpaceDN w:val="0"/>
              <w:adjustRightInd w:val="0"/>
              <w:ind w:left="420" w:leftChars="0" w:hanging="420" w:firstLineChars="0"/>
              <w:jc w:val="both"/>
              <w:textAlignment w:val="baseline"/>
              <w:rPr>
                <w:highlight w:val="cyan"/>
                <w:lang w:val="en-US" w:eastAsia="ko-KR"/>
              </w:rPr>
            </w:pPr>
            <w:r>
              <w:rPr>
                <w:highlight w:val="cyan"/>
                <w:lang w:val="en-US" w:eastAsia="ko-KR"/>
              </w:rPr>
              <w:t>System information is the basic means for providing necessary parameters to assist UE to estimate when the serving cell stops providing coverage at the present UE location.</w:t>
            </w:r>
          </w:p>
          <w:p>
            <w:pPr>
              <w:pStyle w:val="21"/>
              <w:numPr>
                <w:ilvl w:val="0"/>
                <w:numId w:val="9"/>
              </w:numPr>
              <w:overflowPunct w:val="0"/>
              <w:autoSpaceDE w:val="0"/>
              <w:autoSpaceDN w:val="0"/>
              <w:adjustRightInd w:val="0"/>
              <w:ind w:left="420" w:leftChars="0" w:hanging="420" w:firstLineChars="0"/>
              <w:jc w:val="both"/>
              <w:textAlignment w:val="baseline"/>
              <w:rPr>
                <w:lang w:val="en-US" w:eastAsia="ko-KR"/>
              </w:rPr>
            </w:pPr>
            <w:r>
              <w:rPr>
                <w:highlight w:val="cyan"/>
                <w:lang w:val="en-US" w:eastAsia="ko-KR"/>
              </w:rPr>
              <w:t>In Earth-moving cell, the reference location and distance threshold of serving cell are provided by network for UE to estimate when the serving cell stops providing coverage at the present UE location.</w:t>
            </w:r>
            <w:r>
              <w:rPr>
                <w:lang w:val="en-US" w:eastAsia="ko-KR"/>
              </w:rPr>
              <w:t xml:space="preserve"> FFS how the reference location and/or distance threshold are provided to the UE</w:t>
            </w:r>
          </w:p>
          <w:p>
            <w:pPr>
              <w:pStyle w:val="21"/>
              <w:numPr>
                <w:ilvl w:val="0"/>
                <w:numId w:val="0"/>
              </w:numPr>
              <w:overflowPunct w:val="0"/>
              <w:autoSpaceDE w:val="0"/>
              <w:autoSpaceDN w:val="0"/>
              <w:adjustRightInd w:val="0"/>
              <w:ind w:left="29" w:leftChars="0"/>
              <w:jc w:val="both"/>
              <w:textAlignment w:val="baseline"/>
              <w:rPr>
                <w:lang w:val="en-US" w:eastAsia="ko-KR"/>
              </w:rPr>
            </w:pPr>
          </w:p>
          <w:p>
            <w:pPr>
              <w:pStyle w:val="21"/>
              <w:numPr>
                <w:ilvl w:val="0"/>
                <w:numId w:val="0"/>
              </w:numPr>
              <w:overflowPunct w:val="0"/>
              <w:autoSpaceDE w:val="0"/>
              <w:autoSpaceDN w:val="0"/>
              <w:adjustRightInd w:val="0"/>
              <w:ind w:left="29" w:leftChars="0"/>
              <w:jc w:val="both"/>
              <w:textAlignment w:val="baseline"/>
              <w:rPr>
                <w:rFonts w:hint="default" w:eastAsia="宋体"/>
                <w:b/>
                <w:bCs/>
                <w:sz w:val="21"/>
                <w:szCs w:val="21"/>
                <w:lang w:val="en-US" w:eastAsia="zh-CN"/>
              </w:rPr>
            </w:pPr>
            <w:r>
              <w:rPr>
                <w:rFonts w:hint="eastAsia" w:eastAsia="宋体"/>
                <w:b/>
                <w:bCs/>
                <w:sz w:val="21"/>
                <w:szCs w:val="21"/>
                <w:lang w:val="en-US" w:eastAsia="zh-CN"/>
              </w:rPr>
              <w:t>In RAN2 #121 meeting:</w:t>
            </w:r>
          </w:p>
          <w:p>
            <w:pPr>
              <w:numPr>
                <w:ilvl w:val="0"/>
                <w:numId w:val="10"/>
              </w:numPr>
              <w:overflowPunct w:val="0"/>
              <w:autoSpaceDE w:val="0"/>
              <w:autoSpaceDN w:val="0"/>
              <w:adjustRightInd w:val="0"/>
              <w:spacing w:after="180"/>
              <w:ind w:left="420" w:leftChars="0" w:hanging="420" w:firstLineChars="0"/>
              <w:textAlignment w:val="baseline"/>
              <w:rPr>
                <w:rFonts w:hint="eastAsia"/>
              </w:rPr>
            </w:pPr>
            <w:r>
              <w:rPr>
                <w:rFonts w:hint="eastAsia"/>
                <w:highlight w:val="cyan"/>
              </w:rPr>
              <w:t>A serving cell reference location and a distance threshold/radius will be broadcast for earth-moving cell.</w:t>
            </w:r>
            <w:r>
              <w:rPr>
                <w:rFonts w:hint="eastAsia"/>
              </w:rPr>
              <w:t xml:space="preserve"> FFS on whether the R17 IEs are reused or not. FFS on whether additional information needs to be broadcast to inform the UE </w:t>
            </w:r>
            <w:r>
              <w:rPr>
                <w:rFonts w:hint="eastAsia"/>
                <w:highlight w:val="none"/>
              </w:rPr>
              <w:t>how the reference location moves over time</w:t>
            </w:r>
            <w:r>
              <w:rPr>
                <w:rFonts w:hint="eastAsia"/>
              </w:rPr>
              <w:t xml:space="preserve"> or if this can be derived from other information (e.g. Epoch time and ephemeris).</w:t>
            </w:r>
          </w:p>
          <w:p>
            <w:pPr>
              <w:numPr>
                <w:ilvl w:val="0"/>
                <w:numId w:val="10"/>
              </w:numPr>
              <w:overflowPunct w:val="0"/>
              <w:autoSpaceDE w:val="0"/>
              <w:autoSpaceDN w:val="0"/>
              <w:adjustRightInd w:val="0"/>
              <w:spacing w:after="180"/>
              <w:ind w:left="420" w:leftChars="0" w:hanging="420" w:firstLineChars="0"/>
              <w:textAlignment w:val="baseline"/>
              <w:rPr>
                <w:highlight w:val="cyan"/>
              </w:rPr>
            </w:pPr>
            <w:r>
              <w:rPr>
                <w:rFonts w:hint="eastAsia"/>
                <w:highlight w:val="cyan"/>
              </w:rPr>
              <w:t>For cell selection/reselection, location-based measurement initiation is supported in earth-moving cell</w:t>
            </w:r>
            <w:r>
              <w:rPr>
                <w:rFonts w:hint="eastAsia"/>
                <w:highlight w:val="cyan"/>
                <w:lang w:val="en-US" w:eastAsia="zh-CN"/>
              </w:rPr>
              <w:t>.</w:t>
            </w:r>
          </w:p>
          <w:p>
            <w:pPr>
              <w:numPr>
                <w:ilvl w:val="0"/>
                <w:numId w:val="10"/>
              </w:numPr>
              <w:overflowPunct w:val="0"/>
              <w:autoSpaceDE w:val="0"/>
              <w:autoSpaceDN w:val="0"/>
              <w:adjustRightInd w:val="0"/>
              <w:spacing w:after="180"/>
              <w:ind w:left="420" w:leftChars="0" w:hanging="420" w:firstLineChars="0"/>
              <w:textAlignment w:val="baseline"/>
              <w:rPr>
                <w:rFonts w:hint="eastAsia"/>
              </w:rPr>
            </w:pPr>
            <w:r>
              <w:rPr>
                <w:rFonts w:hint="eastAsia"/>
                <w:b/>
                <w:bCs/>
                <w:highlight w:val="cyan"/>
              </w:rPr>
              <w:t>For earth-moving cell, the location-based cell measurement rules of quasi-fixed cell is reused</w:t>
            </w:r>
            <w:r>
              <w:rPr>
                <w:rFonts w:hint="eastAsia"/>
              </w:rPr>
              <w:t>, i.e., for cell reselection in earth-moving cell, UE initiates measurements when its location to serving cell reference location is larger than the configured distance threshold.</w:t>
            </w:r>
          </w:p>
          <w:p>
            <w:pPr>
              <w:widowControl w:val="0"/>
              <w:numPr>
                <w:ilvl w:val="0"/>
                <w:numId w:val="10"/>
              </w:numPr>
              <w:overflowPunct w:val="0"/>
              <w:autoSpaceDE w:val="0"/>
              <w:autoSpaceDN w:val="0"/>
              <w:adjustRightInd w:val="0"/>
              <w:spacing w:after="180"/>
              <w:ind w:left="420" w:leftChars="0" w:hanging="420" w:firstLineChars="0"/>
              <w:jc w:val="both"/>
              <w:textAlignment w:val="baseline"/>
              <w:rPr>
                <w:rFonts w:hint="eastAsia"/>
              </w:rPr>
            </w:pPr>
            <w:r>
              <w:rPr>
                <w:rFonts w:hint="eastAsia"/>
              </w:rPr>
              <w:t>For location-based CHO for earth-moving cells we follow the solution being investigated for cell reselection to allow the UE to derive the serving cell’s reference locations as the cells move. FFS whether the same mechanism can also be used for the candidate cell’s reference location</w:t>
            </w:r>
            <w:r>
              <w:rPr>
                <w:rFonts w:hint="eastAsia"/>
                <w:lang w:val="en-US" w:eastAsia="zh-CN"/>
              </w:rPr>
              <w:t>.</w:t>
            </w:r>
          </w:p>
          <w:p>
            <w:pPr>
              <w:pStyle w:val="21"/>
              <w:numPr>
                <w:ilvl w:val="0"/>
                <w:numId w:val="0"/>
              </w:numPr>
              <w:overflowPunct w:val="0"/>
              <w:autoSpaceDE w:val="0"/>
              <w:autoSpaceDN w:val="0"/>
              <w:adjustRightInd w:val="0"/>
              <w:ind w:left="29" w:leftChars="0"/>
              <w:jc w:val="both"/>
              <w:textAlignment w:val="baseline"/>
              <w:rPr>
                <w:rFonts w:hint="default" w:eastAsia="宋体"/>
                <w:lang w:val="en-US" w:eastAsia="zh-CN"/>
              </w:rPr>
            </w:pPr>
          </w:p>
        </w:tc>
      </w:tr>
    </w:tbl>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eastAsia" w:eastAsia="宋体" w:cs="Times New Roman"/>
          <w:sz w:val="22"/>
          <w:lang w:val="en-US" w:eastAsia="zh-CN"/>
        </w:rPr>
      </w:pPr>
      <w:r>
        <w:rPr>
          <w:rFonts w:hint="eastAsia" w:eastAsia="宋体" w:cs="Times New Roman"/>
          <w:sz w:val="22"/>
          <w:lang w:val="en-US" w:eastAsia="zh-CN"/>
        </w:rPr>
        <w:t>After several RAN2</w:t>
      </w:r>
      <w:r>
        <w:rPr>
          <w:rFonts w:hint="default" w:eastAsia="宋体" w:cs="Times New Roman"/>
          <w:sz w:val="22"/>
          <w:lang w:val="en-US" w:eastAsia="zh-CN"/>
        </w:rPr>
        <w:t>’</w:t>
      </w:r>
      <w:r>
        <w:rPr>
          <w:rFonts w:hint="eastAsia" w:eastAsia="宋体" w:cs="Times New Roman"/>
          <w:sz w:val="22"/>
          <w:lang w:val="en-US" w:eastAsia="zh-CN"/>
        </w:rPr>
        <w:t>s meetings, we can capture several key conclusions from it:</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eastAsia" w:eastAsia="宋体" w:cs="Times New Roman"/>
          <w:sz w:val="22"/>
          <w:lang w:val="en-US" w:eastAsia="zh-CN"/>
        </w:rPr>
      </w:pPr>
      <w:r>
        <w:rPr>
          <w:rFonts w:hint="eastAsia" w:eastAsia="宋体" w:cs="Times New Roman"/>
          <w:sz w:val="22"/>
          <w:lang w:val="en-US" w:eastAsia="zh-CN"/>
        </w:rPr>
        <w:t xml:space="preserve">The necessary parameters will be provided by NW to assist UE to estimate when the serving cell stops providing coverage at the present UE location and the SI is the basic means like SIB19. </w:t>
      </w:r>
    </w:p>
    <w:p>
      <w:pPr>
        <w:keepNext w:val="0"/>
        <w:keepLines w:val="0"/>
        <w:pageBreakBefore w:val="0"/>
        <w:widowControl/>
        <w:numPr>
          <w:ilvl w:val="0"/>
          <w:numId w:val="11"/>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eastAsia="宋体" w:cs="Times New Roman"/>
          <w:sz w:val="22"/>
          <w:lang w:val="en-US" w:eastAsia="zh-CN"/>
        </w:rPr>
      </w:pPr>
      <w:r>
        <w:rPr>
          <w:rFonts w:hint="eastAsia" w:eastAsia="宋体" w:cs="Times New Roman"/>
          <w:sz w:val="22"/>
          <w:lang w:val="en-US" w:eastAsia="zh-CN"/>
        </w:rPr>
        <w:t xml:space="preserve">According to RAN2 agreements, </w:t>
      </w:r>
      <w:r>
        <w:rPr>
          <w:rFonts w:hint="default" w:eastAsia="宋体" w:cs="Times New Roman"/>
          <w:sz w:val="22"/>
          <w:lang w:val="en-US" w:eastAsia="zh-CN"/>
        </w:rPr>
        <w:t>“</w:t>
      </w:r>
      <w:r>
        <w:rPr>
          <w:rFonts w:hint="eastAsia" w:eastAsia="宋体" w:cs="Times New Roman"/>
          <w:sz w:val="22"/>
          <w:lang w:val="en-US" w:eastAsia="zh-CN"/>
        </w:rPr>
        <w:t xml:space="preserve"> </w:t>
      </w:r>
      <w:r>
        <w:rPr>
          <w:rFonts w:hint="eastAsia" w:eastAsia="宋体" w:cs="Times New Roman"/>
          <w:sz w:val="22"/>
          <w:highlight w:val="yellow"/>
          <w:lang w:val="en-US" w:eastAsia="zh-CN"/>
        </w:rPr>
        <w:t>For earth-moving cell, the location-based cell measurement rules of quasi-fixed cell is reused, i.e., for cell reselection in earth-moving cell, UE initiates measurements when its location to serving cell reference location is larger than the configured distance threshold.</w:t>
      </w:r>
      <w:r>
        <w:rPr>
          <w:rFonts w:hint="default" w:eastAsia="宋体" w:cs="Times New Roman"/>
          <w:sz w:val="22"/>
          <w:lang w:val="en-US" w:eastAsia="zh-CN"/>
        </w:rPr>
        <w:t>”</w:t>
      </w:r>
      <w:r>
        <w:rPr>
          <w:rFonts w:hint="eastAsia" w:eastAsia="宋体" w:cs="Times New Roman"/>
          <w:sz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From RAN4 perspective, the time based method and location based method were introduced in R17, that is, the “t-service” is cell service time for UE doing the measurements and the comparable “reference distance and configured distance threshold” were discussed. However, based on RAN2 agreements the location based should be studied firstly and the location based cell measurement rules of quasi-fixed cell is reused, on the contrary, the time based method shall be introduced after RAN2 concrete progress.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For earth-moving cell, the location-based cell measurement rules of quasi-fixed cell is reused.</w:t>
      </w:r>
    </w:p>
    <w:p>
      <w:pPr>
        <w:rPr>
          <w:rFonts w:hint="default"/>
          <w:lang w:val="en-US" w:eastAsia="zh-CN"/>
        </w:rPr>
      </w:pPr>
      <w:r>
        <w:rPr>
          <w:rFonts w:hint="eastAsia"/>
          <w:sz w:val="22"/>
          <w:szCs w:val="22"/>
          <w:lang w:val="en-US" w:eastAsia="zh-CN"/>
        </w:rPr>
        <w:t>When discussing the location-based cell measurement, the time to HO for min/max cell diameter and varying UE speed should be considered.</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lang w:val="en-US" w:eastAsia="zh-CN"/>
        </w:rPr>
      </w:pPr>
      <w:r>
        <w:rPr>
          <w:rFonts w:hint="eastAsia"/>
          <w:sz w:val="22"/>
          <w:szCs w:val="22"/>
          <w:lang w:val="en-US" w:eastAsia="zh-CN"/>
        </w:rPr>
        <w:t>If the cell diameter size is 50km, and we know that the speed of LEO600 is 7.56km per second, the time for current serving cell coverage</w:t>
      </w:r>
      <w:r>
        <w:rPr>
          <w:rFonts w:hint="eastAsia"/>
          <w:lang w:val="en-US" w:eastAsia="zh-CN"/>
        </w:rPr>
        <w:t xml:space="preserve"> can be calculated combined with the UE speed as below:</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eastAsia"/>
          <w:lang w:val="en-US" w:eastAsia="zh-CN"/>
        </w:rPr>
      </w:pPr>
      <w:r>
        <w:drawing>
          <wp:inline distT="0" distB="0" distL="114300" distR="114300">
            <wp:extent cx="3855720" cy="3274060"/>
            <wp:effectExtent l="0" t="0" r="0" b="254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6"/>
                    <a:stretch>
                      <a:fillRect/>
                    </a:stretch>
                  </pic:blipFill>
                  <pic:spPr>
                    <a:xfrm>
                      <a:off x="0" y="0"/>
                      <a:ext cx="3855720" cy="3274060"/>
                    </a:xfrm>
                    <a:prstGeom prst="rect">
                      <a:avLst/>
                    </a:prstGeom>
                    <a:noFill/>
                    <a:ln>
                      <a:noFill/>
                    </a:ln>
                  </pic:spPr>
                </pic:pic>
              </a:graphicData>
            </a:graphic>
          </wp:inline>
        </w:drawing>
      </w:r>
    </w:p>
    <w:p>
      <w:pPr>
        <w:keepNext w:val="0"/>
        <w:keepLines w:val="0"/>
        <w:pageBreakBefore w:val="0"/>
        <w:widowControl/>
        <w:numPr>
          <w:ilvl w:val="0"/>
          <w:numId w:val="12"/>
        </w:numPr>
        <w:kinsoku/>
        <w:wordWrap/>
        <w:overflowPunct/>
        <w:topLinePunct w:val="0"/>
        <w:autoSpaceDE/>
        <w:autoSpaceDN/>
        <w:bidi w:val="0"/>
        <w:adjustRightInd/>
        <w:snapToGrid/>
        <w:spacing w:line="360" w:lineRule="auto"/>
        <w:textAlignment w:val="auto"/>
        <w:rPr>
          <w:rFonts w:hint="default"/>
          <w:lang w:val="en-US" w:eastAsia="zh-CN"/>
        </w:rPr>
      </w:pPr>
      <w:r>
        <w:rPr>
          <w:rFonts w:hint="eastAsia"/>
          <w:lang w:val="en-US" w:eastAsia="zh-CN"/>
        </w:rPr>
        <w:t xml:space="preserve">The movement speed combined with UE speed: </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default" w:hAnsi="Cambria Math" w:cs="Times New Roman"/>
          <w:i w:val="0"/>
          <w:lang w:val="en-US" w:eastAsia="zh-CN" w:bidi="ar-SA"/>
        </w:rPr>
      </w:pPr>
      <m:oMathPara>
        <m:oMath>
          <m:r>
            <m:rPr>
              <m:sty m:val="p"/>
            </m:rPr>
            <w:rPr>
              <w:rFonts w:hint="default" w:ascii="Cambria Math" w:hAnsi="Cambria Math" w:cs="Times New Roman"/>
              <w:lang w:val="en-US" w:eastAsia="zh-CN" w:bidi="ar-SA"/>
            </w:rPr>
            <m:t>+500/3600+7.56=7.70 km/s</m:t>
          </m:r>
        </m:oMath>
      </m:oMathPara>
    </w:p>
    <w:p>
      <w:pPr>
        <w:keepNext w:val="0"/>
        <w:keepLines w:val="0"/>
        <w:pageBreakBefore w:val="0"/>
        <w:widowControl/>
        <w:numPr>
          <w:ilvl w:val="0"/>
          <w:numId w:val="12"/>
        </w:numPr>
        <w:kinsoku/>
        <w:wordWrap/>
        <w:overflowPunct/>
        <w:topLinePunct w:val="0"/>
        <w:autoSpaceDE/>
        <w:autoSpaceDN/>
        <w:bidi w:val="0"/>
        <w:adjustRightInd/>
        <w:snapToGrid/>
        <w:spacing w:line="360" w:lineRule="auto"/>
        <w:ind w:left="0" w:leftChars="0" w:firstLine="0" w:firstLineChars="0"/>
        <w:textAlignment w:val="auto"/>
        <w:rPr>
          <w:rFonts w:hint="default" w:hAnsi="Cambria Math" w:cs="Times New Roman"/>
          <w:i w:val="0"/>
          <w:lang w:val="en-US" w:eastAsia="zh-CN" w:bidi="ar-SA"/>
        </w:rPr>
      </w:pPr>
      <w:r>
        <w:rPr>
          <w:rFonts w:hint="eastAsia" w:hAnsi="Cambria Math" w:cs="Times New Roman"/>
          <w:i w:val="0"/>
          <w:lang w:val="en-US" w:eastAsia="zh-CN" w:bidi="ar-SA"/>
        </w:rPr>
        <w:t>The time for current serving cell coverage(min cell diameter):</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hAnsi="Cambria Math" w:cs="Times New Roman"/>
          <w:i w:val="0"/>
          <w:lang w:val="en-US" w:eastAsia="zh-CN" w:bidi="ar-SA"/>
        </w:rPr>
      </w:pPr>
      <m:oMathPara>
        <m:oMath>
          <m:r>
            <m:rPr>
              <m:sty m:val="p"/>
            </m:rPr>
            <w:rPr>
              <w:rFonts w:hint="default" w:ascii="Cambria Math" w:hAnsi="Cambria Math" w:cs="Times New Roman"/>
              <w:lang w:val="en-US" w:eastAsia="zh-CN" w:bidi="ar-SA"/>
            </w:rPr>
            <m:t>50/7.70=6.49s</m:t>
          </m:r>
        </m:oMath>
      </m:oMathPara>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In this paper the NTN LEO will be used as an assumption. As calculation shown, we mainly talk about the LEO transparent payload, the r</w:t>
      </w:r>
      <w:r>
        <w:rPr>
          <w:sz w:val="22"/>
          <w:szCs w:val="22"/>
        </w:rPr>
        <w:t>elative speed of Satellite with respect to earth</w:t>
      </w:r>
      <w:r>
        <w:rPr>
          <w:rFonts w:hint="eastAsia" w:eastAsia="宋体"/>
          <w:sz w:val="22"/>
          <w:szCs w:val="22"/>
          <w:lang w:val="en-US" w:eastAsia="zh-CN"/>
        </w:rPr>
        <w:t xml:space="preserve"> is 7.56km per second. The t</w:t>
      </w:r>
      <w:r>
        <w:rPr>
          <w:sz w:val="22"/>
          <w:szCs w:val="22"/>
        </w:rPr>
        <w:t xml:space="preserve">ypical Min / Max NTN beam foot print diameter </w:t>
      </w:r>
      <w:r>
        <w:rPr>
          <w:rFonts w:hint="eastAsia" w:eastAsia="宋体"/>
          <w:sz w:val="22"/>
          <w:szCs w:val="22"/>
          <w:lang w:val="en-US" w:eastAsia="zh-CN"/>
        </w:rPr>
        <w:t>is 50km/1000km. From the formulation above, it can be seen that if the cell diameter size is 50km, combining with the UE speed the time for current serving cell for LEO has the max value 6.49s, that is, if UE starts to camp on a totally new neighbour NTN cell, the maximum detect time shall be smaller than around 6s.</w:t>
      </w:r>
    </w:p>
    <w:p>
      <w:pPr>
        <w:rPr>
          <w:rFonts w:hint="eastAsia"/>
          <w:sz w:val="22"/>
          <w:szCs w:val="22"/>
          <w:lang w:val="en-US" w:eastAsia="zh-CN"/>
        </w:rPr>
      </w:pPr>
      <w:r>
        <w:rPr>
          <w:rFonts w:hint="eastAsia"/>
          <w:sz w:val="22"/>
          <w:szCs w:val="22"/>
          <w:lang w:val="en-US" w:eastAsia="zh-CN"/>
        </w:rPr>
        <w:t>In this section, two scenarios should be considered:</w:t>
      </w:r>
    </w:p>
    <w:p>
      <w:pPr>
        <w:jc w:val="center"/>
        <w:rPr>
          <w:rFonts w:hint="default"/>
          <w:sz w:val="22"/>
          <w:szCs w:val="22"/>
          <w:lang w:val="en-US" w:eastAsia="zh-CN"/>
        </w:rPr>
      </w:pPr>
      <w:r>
        <w:rPr>
          <w:rFonts w:hint="default"/>
          <w:sz w:val="22"/>
          <w:szCs w:val="22"/>
          <w:lang w:val="en-US" w:eastAsia="zh-CN"/>
        </w:rPr>
        <w:drawing>
          <wp:inline distT="0" distB="0" distL="114300" distR="114300">
            <wp:extent cx="3121025" cy="3345180"/>
            <wp:effectExtent l="0" t="0" r="3175" b="0"/>
            <wp:docPr id="1" name="图片 1" descr="NTN-NTN场景一"/>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NTN-NTN场景一"/>
                    <pic:cNvPicPr>
                      <a:picLocks noChangeAspect="1"/>
                    </pic:cNvPicPr>
                  </pic:nvPicPr>
                  <pic:blipFill>
                    <a:blip r:embed="rId7"/>
                    <a:stretch>
                      <a:fillRect/>
                    </a:stretch>
                  </pic:blipFill>
                  <pic:spPr>
                    <a:xfrm>
                      <a:off x="0" y="0"/>
                      <a:ext cx="3121025" cy="3345180"/>
                    </a:xfrm>
                    <a:prstGeom prst="rect">
                      <a:avLst/>
                    </a:prstGeom>
                  </pic:spPr>
                </pic:pic>
              </a:graphicData>
            </a:graphic>
          </wp:inline>
        </w:drawing>
      </w:r>
    </w:p>
    <w:p>
      <w:pPr>
        <w:jc w:val="center"/>
        <w:rPr>
          <w:rFonts w:hint="default"/>
          <w:sz w:val="22"/>
          <w:szCs w:val="22"/>
          <w:lang w:val="en-US" w:eastAsia="zh-CN"/>
        </w:rPr>
      </w:pPr>
      <w:r>
        <w:rPr>
          <w:rFonts w:hint="eastAsia"/>
          <w:sz w:val="22"/>
          <w:szCs w:val="22"/>
          <w:lang w:val="en-US" w:eastAsia="zh-CN"/>
        </w:rPr>
        <w:t xml:space="preserve">Figure 1  Earth moving cell </w:t>
      </w:r>
      <w:r>
        <w:rPr>
          <w:rFonts w:hint="default" w:ascii="Calibri" w:hAnsi="Calibri" w:cs="Calibri"/>
          <w:sz w:val="18"/>
          <w:szCs w:val="18"/>
          <w:lang w:val="en-US" w:eastAsia="zh-CN"/>
        </w:rPr>
        <w:t>①</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The reference distance is the distance between the UE and the current NTN serving cell, and the reference point is in the current NTN serving cell. As the figure 1 shows us that the UE is at the cell edge of the current NTN serving cell when the new NTN serving cell appears and UE starts to camp on it. The reference point d1 moves to d2 because of satellite moving during T2-T1. Therefore, the UE in figure 1 has little time to measure, detect or evaluate on the neighbour NTN cell instantly based on the configured distance threshold.</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3121025" cy="3344545"/>
            <wp:effectExtent l="0" t="0" r="3175" b="0"/>
            <wp:docPr id="2" name="图片 2" descr="NTN-NTN场景二"/>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NTN-NTN场景二"/>
                    <pic:cNvPicPr>
                      <a:picLocks noChangeAspect="1"/>
                    </pic:cNvPicPr>
                  </pic:nvPicPr>
                  <pic:blipFill>
                    <a:blip r:embed="rId8"/>
                    <a:stretch>
                      <a:fillRect/>
                    </a:stretch>
                  </pic:blipFill>
                  <pic:spPr>
                    <a:xfrm>
                      <a:off x="0" y="0"/>
                      <a:ext cx="3121025" cy="3344545"/>
                    </a:xfrm>
                    <a:prstGeom prst="rect">
                      <a:avLst/>
                    </a:prstGeom>
                  </pic:spPr>
                </pic:pic>
              </a:graphicData>
            </a:graphic>
          </wp:inline>
        </w:drawing>
      </w:r>
    </w:p>
    <w:p>
      <w:pPr>
        <w:jc w:val="center"/>
        <w:rPr>
          <w:rFonts w:hint="default"/>
          <w:sz w:val="22"/>
          <w:szCs w:val="22"/>
          <w:lang w:val="en-US" w:eastAsia="zh-CN"/>
        </w:rPr>
      </w:pPr>
      <w:r>
        <w:rPr>
          <w:rFonts w:hint="eastAsia"/>
          <w:sz w:val="22"/>
          <w:szCs w:val="22"/>
          <w:lang w:val="en-US" w:eastAsia="zh-CN"/>
        </w:rPr>
        <w:t xml:space="preserve">Figure 2  Earth moving cell </w:t>
      </w:r>
      <w:r>
        <w:rPr>
          <w:rFonts w:hint="default" w:ascii="Calibri" w:hAnsi="Calibri" w:cs="Calibri"/>
          <w:sz w:val="18"/>
          <w:szCs w:val="18"/>
          <w:lang w:val="en-US" w:eastAsia="zh-CN"/>
        </w:rPr>
        <w:t>②</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In this scenario, the UE has enough time to camp on the new neighbour NTN cell and it has been at the cell edge of the new NTN cell. Although the UE can start to detect and do the measurement, according to cell re-selection conditions in</w:t>
      </w:r>
      <w:r>
        <w:rPr>
          <w:rFonts w:hint="eastAsia"/>
          <w:b/>
          <w:bCs/>
          <w:sz w:val="22"/>
          <w:szCs w:val="22"/>
          <w:lang w:val="en-US" w:eastAsia="zh-CN"/>
        </w:rPr>
        <w:t xml:space="preserve"> TS 38.133</w:t>
      </w:r>
      <w:r>
        <w:rPr>
          <w:rFonts w:hint="eastAsia"/>
          <w:sz w:val="22"/>
          <w:szCs w:val="22"/>
          <w:lang w:val="en-US" w:eastAsia="zh-CN"/>
        </w:rPr>
        <w:t xml:space="preserve"> as below, we shall consider the worst cases and consider if the conditions can be met under this scenario.</w:t>
      </w:r>
    </w:p>
    <w:p>
      <w:pPr>
        <w:pStyle w:val="53"/>
        <w:rPr>
          <w:rFonts w:hint="eastAsia"/>
          <w:sz w:val="22"/>
          <w:szCs w:val="22"/>
          <w:highlight w:val="none"/>
          <w:lang w:val="en-US" w:eastAsia="zh-CN"/>
        </w:rPr>
      </w:pPr>
      <w:r>
        <w:rPr>
          <w:highlight w:val="none"/>
        </w:rPr>
        <w:t>Table 4.2C.2.3-2: T</w:t>
      </w:r>
      <w:r>
        <w:rPr>
          <w:highlight w:val="none"/>
          <w:vertAlign w:val="subscript"/>
        </w:rPr>
        <w:t>detect,NR_Intra_enh,</w:t>
      </w:r>
      <w:r>
        <w:rPr>
          <w:highlight w:val="none"/>
        </w:rPr>
        <w:t xml:space="preserve"> T</w:t>
      </w:r>
      <w:r>
        <w:rPr>
          <w:highlight w:val="none"/>
          <w:vertAlign w:val="subscript"/>
        </w:rPr>
        <w:t>measure,NR_Intra_enh</w:t>
      </w:r>
      <w:r>
        <w:rPr>
          <w:highlight w:val="none"/>
        </w:rPr>
        <w:t xml:space="preserve"> and T</w:t>
      </w:r>
      <w:r>
        <w:rPr>
          <w:highlight w:val="none"/>
          <w:vertAlign w:val="subscript"/>
        </w:rPr>
        <w:t>evaluate,NR_Intra_enh</w:t>
      </w:r>
    </w:p>
    <w:tbl>
      <w:tblPr>
        <w:tblStyle w:val="29"/>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2"/>
        <w:gridCol w:w="2285"/>
        <w:gridCol w:w="2467"/>
        <w:gridCol w:w="21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detect,NR_</w:t>
            </w:r>
            <w:r>
              <w:rPr>
                <w:rFonts w:ascii="Arial" w:hAnsi="Arial" w:cs="v4.2.0"/>
                <w:b/>
                <w:sz w:val="18"/>
                <w:vertAlign w:val="subscript"/>
              </w:rPr>
              <w:t>Intra_enh</w:t>
            </w:r>
            <w:r>
              <w:rPr>
                <w:rFonts w:ascii="Arial" w:hAnsi="Arial"/>
                <w:b/>
                <w:sz w:val="18"/>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measure,NR_</w:t>
            </w:r>
            <w:r>
              <w:rPr>
                <w:rFonts w:ascii="Arial" w:hAnsi="Arial" w:cs="v4.2.0"/>
                <w:b/>
                <w:sz w:val="18"/>
                <w:vertAlign w:val="subscript"/>
              </w:rPr>
              <w:t>Intra_enh</w:t>
            </w:r>
            <w:r>
              <w:rPr>
                <w:rFonts w:ascii="Arial" w:hAnsi="Arial"/>
                <w:b/>
                <w:sz w:val="18"/>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T</w:t>
            </w:r>
            <w:r>
              <w:rPr>
                <w:rFonts w:ascii="Arial" w:hAnsi="Arial"/>
                <w:b/>
                <w:sz w:val="18"/>
                <w:vertAlign w:val="subscript"/>
              </w:rPr>
              <w:t>evaluate,NR_</w:t>
            </w:r>
            <w:r>
              <w:rPr>
                <w:rFonts w:ascii="Arial" w:hAnsi="Arial" w:cs="v4.2.0"/>
                <w:b/>
                <w:sz w:val="18"/>
                <w:vertAlign w:val="subscript"/>
              </w:rPr>
              <w:t>Intra_enh</w:t>
            </w:r>
            <w:r>
              <w:rPr>
                <w:rFonts w:ascii="Arial" w:hAnsi="Arial" w:cs="Arial"/>
                <w:b/>
                <w:sz w:val="18"/>
              </w:rPr>
              <w:t xml:space="preserve"> </w:t>
            </w:r>
            <w:r>
              <w:rPr>
                <w:rFonts w:ascii="Arial" w:hAnsi="Arial"/>
                <w:b/>
                <w:sz w:val="18"/>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10" w:hRule="atLeast"/>
          <w:jc w:val="center"/>
        </w:trPr>
        <w:tc>
          <w:tcPr>
            <w:tcW w:w="0" w:type="auto"/>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Malgun Gothic"/>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0.32</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 xml:space="preserve"> 2.56 x M2 (8 x M2)</w:t>
            </w:r>
            <w:r>
              <w:rPr>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0.32 x M3 (1 x M3)</w:t>
            </w:r>
            <w:r>
              <w:rPr>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0.96 x M4 (3 x M4)</w:t>
            </w:r>
            <w:r>
              <w:rPr>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0.64</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5.12 (8)</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0.64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1.28</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8.96 (7)</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rPr>
                <w:rFonts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45"/>
              <w:rPr>
                <w:rFonts w:eastAsia="Malgun Gothic"/>
              </w:rPr>
            </w:pPr>
            <w:r>
              <w:t>2.56</w:t>
            </w:r>
          </w:p>
        </w:tc>
        <w:tc>
          <w:tcPr>
            <w:tcW w:w="1407" w:type="pct"/>
            <w:tcBorders>
              <w:top w:val="single" w:color="auto" w:sz="4" w:space="0"/>
              <w:left w:val="single" w:color="auto" w:sz="4" w:space="0"/>
              <w:bottom w:val="single" w:color="auto" w:sz="4" w:space="0"/>
              <w:right w:val="single" w:color="auto" w:sz="4" w:space="0"/>
            </w:tcBorders>
          </w:tcPr>
          <w:p>
            <w:pPr>
              <w:pStyle w:val="45"/>
              <w:rPr>
                <w:rFonts w:eastAsia="Malgun Gothic"/>
              </w:rPr>
            </w:pPr>
            <w:r>
              <w:t>58.88 (23)</w:t>
            </w:r>
          </w:p>
        </w:tc>
        <w:tc>
          <w:tcPr>
            <w:tcW w:w="1519" w:type="pct"/>
            <w:tcBorders>
              <w:top w:val="single" w:color="auto" w:sz="4" w:space="0"/>
              <w:left w:val="single" w:color="auto" w:sz="4" w:space="0"/>
              <w:bottom w:val="single" w:color="auto" w:sz="4" w:space="0"/>
              <w:right w:val="single" w:color="auto" w:sz="4" w:space="0"/>
            </w:tcBorders>
          </w:tcPr>
          <w:p>
            <w:pPr>
              <w:pStyle w:val="45"/>
              <w:rPr>
                <w:rFonts w:eastAsia="Malgun Gothic"/>
              </w:rPr>
            </w:pPr>
            <w:r>
              <w:t>2.56 (1)</w:t>
            </w:r>
          </w:p>
        </w:tc>
        <w:tc>
          <w:tcPr>
            <w:tcW w:w="1340" w:type="pct"/>
            <w:tcBorders>
              <w:top w:val="single" w:color="auto" w:sz="4" w:space="0"/>
              <w:left w:val="single" w:color="auto" w:sz="4" w:space="0"/>
              <w:bottom w:val="single" w:color="auto" w:sz="4" w:space="0"/>
              <w:right w:val="single" w:color="auto" w:sz="4" w:space="0"/>
            </w:tcBorders>
          </w:tcPr>
          <w:p>
            <w:pPr>
              <w:pStyle w:val="45"/>
              <w:rPr>
                <w:rFonts w:eastAsia="Malgun Gothic"/>
              </w:rPr>
            </w:pPr>
            <w: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58"/>
              <w:rPr>
                <w:rFonts w:eastAsia="Malgun Gothic"/>
              </w:rPr>
            </w:pPr>
            <w:r>
              <w:rPr>
                <w:lang w:eastAsia="zh-CN"/>
              </w:rPr>
              <w:t>Note 1:</w:t>
            </w:r>
            <w:r>
              <w:rPr>
                <w:rFonts w:eastAsia="CG Times (WN)"/>
                <w:lang w:val="en-US"/>
              </w:rPr>
              <w:tab/>
            </w:r>
            <w:r>
              <w:t>W</w:t>
            </w:r>
            <w:r>
              <w:rPr>
                <w:lang w:eastAsia="zh-CN"/>
              </w:rPr>
              <w:t>hen SMTC &lt; = 40 ms, M2 = M3 = M4 = 1; and when SMTC &gt; 40 ms, M2 = 2, M3 = M4 = 2.5</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In TS 38.133, it says that the UE is not required to meet the requirements for 2.56s DRX cycle length for earth-moving LEO deployment. Therefore, we consider the worst cases for intra-frequency cell for cell re-selection in this scenario according to the current requirements. As the above table shown, if the DRX cycle length is 1.28s, the detect time will be 8.96s, and as we described above </w:t>
      </w:r>
      <w:r>
        <w:rPr>
          <w:rFonts w:hint="eastAsia" w:eastAsia="宋体"/>
          <w:sz w:val="22"/>
          <w:szCs w:val="22"/>
          <w:lang w:val="en-US" w:eastAsia="zh-CN"/>
        </w:rPr>
        <w:t>if UE starts to camp on a totally new neighbour NTN cell, the maximum detect time shall be smaller than around 6s. 8.96s&gt;6s, UE can not do the detection and the current location-based method and requirements can not be met in this scenario.</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Observation 2: Both of two scenarios can not complete the cell re-selection based on the current requirements, so more information and parameters for cell re-selection shall be needed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sz w:val="22"/>
          <w:szCs w:val="22"/>
          <w:lang w:val="en-US" w:eastAsia="zh-CN"/>
        </w:rPr>
        <w:t xml:space="preserve">Proposal 2: </w:t>
      </w:r>
      <w:r>
        <w:rPr>
          <w:rFonts w:hint="eastAsia"/>
          <w:b/>
          <w:bCs/>
          <w:color w:val="000000"/>
          <w:sz w:val="22"/>
          <w:szCs w:val="22"/>
          <w:lang w:val="en-US" w:eastAsia="zh-CN"/>
        </w:rPr>
        <w:t>The current requirements for quasi-fixed cell shall be the baseline or the starting point when defining the requirements for earth moving cell.</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3: Wait for more RAN2 outcomes on information and parameters to be used for the cell re-selection measurement.</w:t>
      </w:r>
    </w:p>
    <w:p>
      <w:pPr>
        <w:rPr>
          <w:rFonts w:hint="eastAsia"/>
          <w:lang w:val="en-US" w:eastAsia="zh-CN"/>
        </w:rPr>
      </w:pPr>
      <w:r>
        <w:rPr>
          <w:rFonts w:hint="eastAsia"/>
          <w:sz w:val="22"/>
          <w:szCs w:val="22"/>
          <w:lang w:val="en-US" w:eastAsia="zh-CN"/>
        </w:rPr>
        <w:t>In the last meeting,</w:t>
      </w:r>
      <w:r>
        <w:rPr>
          <w:rFonts w:hint="eastAsia"/>
          <w:lang w:val="en-US" w:eastAsia="zh-CN"/>
        </w:rPr>
        <w:t xml:space="preserve"> in order to solve this problem two methods were discussed but there was no agreement were agreed:</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val="en-US" w:eastAsia="ko-KR"/>
              </w:rPr>
            </w:pPr>
            <w:r>
              <w:rPr>
                <w:b/>
                <w:u w:val="single"/>
                <w:lang w:eastAsia="ko-KR"/>
              </w:rPr>
              <w:t>Issue 4-1: NTN-NTN Cell reselection enhancements for earth moving cell</w:t>
            </w:r>
          </w:p>
          <w:p>
            <w:pPr>
              <w:spacing w:after="120" w:line="252" w:lineRule="auto"/>
              <w:ind w:firstLine="284"/>
              <w:rPr>
                <w:b/>
                <w:bCs/>
                <w:u w:val="single"/>
                <w:lang w:eastAsia="ja-JP"/>
              </w:rPr>
            </w:pPr>
            <w:r>
              <w:rPr>
                <w:b/>
                <w:u w:val="single"/>
                <w:lang w:eastAsia="ko-KR"/>
              </w:rPr>
              <w:t xml:space="preserve">Issue 4-1-A: </w:t>
            </w:r>
            <w:r>
              <w:rPr>
                <w:b/>
                <w:bCs/>
                <w:u w:val="single"/>
                <w:lang w:eastAsia="ja-JP"/>
              </w:rPr>
              <w:t>Time-based cell reselection in earth moving cell NTN deployments</w:t>
            </w:r>
          </w:p>
          <w:p>
            <w:pPr>
              <w:pStyle w:val="72"/>
              <w:numPr>
                <w:ilvl w:val="0"/>
                <w:numId w:val="5"/>
              </w:numPr>
              <w:spacing w:after="120"/>
              <w:ind w:left="644" w:firstLineChars="0"/>
              <w:rPr>
                <w:szCs w:val="24"/>
                <w:lang w:eastAsia="zh-CN"/>
              </w:rPr>
            </w:pPr>
            <w:r>
              <w:rPr>
                <w:szCs w:val="24"/>
                <w:lang w:eastAsia="zh-CN"/>
              </w:rPr>
              <w:t>No agreement.</w:t>
            </w:r>
          </w:p>
          <w:p>
            <w:pPr>
              <w:rPr>
                <w:lang w:eastAsia="ja-JP"/>
              </w:rPr>
            </w:pPr>
          </w:p>
          <w:p>
            <w:pPr>
              <w:spacing w:after="120" w:line="252" w:lineRule="auto"/>
              <w:ind w:firstLine="284"/>
              <w:rPr>
                <w:b/>
                <w:bCs/>
                <w:highlight w:val="yellow"/>
                <w:u w:val="single"/>
                <w:lang w:eastAsia="ja-JP"/>
              </w:rPr>
            </w:pPr>
            <w:r>
              <w:rPr>
                <w:b/>
                <w:highlight w:val="yellow"/>
                <w:u w:val="single"/>
                <w:lang w:eastAsia="ko-KR"/>
              </w:rPr>
              <w:t xml:space="preserve">Issue 4-1-B: </w:t>
            </w:r>
            <w:r>
              <w:rPr>
                <w:b/>
                <w:bCs/>
                <w:highlight w:val="yellow"/>
                <w:u w:val="single"/>
                <w:lang w:eastAsia="ja-JP"/>
              </w:rPr>
              <w:t>For location-based cell reselection in earth moving cell NTN deployments</w:t>
            </w:r>
          </w:p>
          <w:p>
            <w:pPr>
              <w:spacing w:after="120" w:line="252" w:lineRule="auto"/>
              <w:ind w:firstLine="284"/>
              <w:rPr>
                <w:b/>
                <w:bCs/>
                <w:highlight w:val="yellow"/>
                <w:u w:val="single"/>
                <w:lang w:val="en-US" w:eastAsia="ja-JP"/>
              </w:rPr>
            </w:pPr>
            <w:r>
              <w:rPr>
                <w:b/>
                <w:bCs/>
                <w:highlight w:val="yellow"/>
                <w:u w:val="single"/>
                <w:lang w:eastAsia="ja-JP"/>
              </w:rPr>
              <w:t>Agreement:</w:t>
            </w:r>
          </w:p>
          <w:p>
            <w:pPr>
              <w:pStyle w:val="72"/>
              <w:numPr>
                <w:ilvl w:val="0"/>
                <w:numId w:val="5"/>
              </w:numPr>
              <w:ind w:left="644" w:firstLineChars="0"/>
              <w:rPr>
                <w:lang w:eastAsia="ja-JP"/>
              </w:rPr>
            </w:pPr>
            <w:r>
              <w:rPr>
                <w:lang w:eastAsia="ja-JP"/>
              </w:rPr>
              <w:t xml:space="preserve">For </w:t>
            </w:r>
            <w:r>
              <w:rPr>
                <w:szCs w:val="24"/>
                <w:lang w:eastAsia="zh-CN"/>
              </w:rPr>
              <w:t>location-based cell reselection in earth moving cell NTN deployments:</w:t>
            </w:r>
          </w:p>
          <w:p>
            <w:pPr>
              <w:pStyle w:val="72"/>
              <w:numPr>
                <w:ilvl w:val="1"/>
                <w:numId w:val="5"/>
              </w:numPr>
              <w:ind w:left="1364" w:firstLineChars="0"/>
              <w:rPr>
                <w:lang w:eastAsia="ja-JP"/>
              </w:rPr>
            </w:pPr>
            <w:r>
              <w:rPr>
                <w:szCs w:val="24"/>
                <w:lang w:eastAsia="zh-CN"/>
              </w:rPr>
              <w:t>Whether the coverage information of serving cell is (absolutely) necessary:</w:t>
            </w:r>
          </w:p>
          <w:p>
            <w:pPr>
              <w:pStyle w:val="72"/>
              <w:numPr>
                <w:ilvl w:val="2"/>
                <w:numId w:val="5"/>
              </w:numPr>
              <w:ind w:left="2084" w:firstLineChars="0"/>
              <w:rPr>
                <w:lang w:eastAsia="ja-JP"/>
              </w:rPr>
            </w:pPr>
            <w:r>
              <w:rPr>
                <w:lang w:eastAsia="ja-JP"/>
              </w:rPr>
              <w:t xml:space="preserve">No consensus in the group on whether serving </w:t>
            </w:r>
            <w:r>
              <w:rPr>
                <w:szCs w:val="24"/>
                <w:lang w:eastAsia="zh-CN"/>
              </w:rPr>
              <w:t>cell coverage information is absolutely necessary.</w:t>
            </w:r>
          </w:p>
          <w:p>
            <w:pPr>
              <w:pStyle w:val="72"/>
              <w:numPr>
                <w:ilvl w:val="2"/>
                <w:numId w:val="5"/>
              </w:numPr>
              <w:ind w:left="2084" w:firstLineChars="0"/>
              <w:rPr>
                <w:lang w:eastAsia="ja-JP"/>
              </w:rPr>
            </w:pPr>
            <w:r>
              <w:rPr>
                <w:lang w:eastAsia="ja-JP"/>
              </w:rPr>
              <w:t>Consider further progress and conclusion from RAN2, if any</w:t>
            </w:r>
          </w:p>
          <w:p>
            <w:pPr>
              <w:pStyle w:val="72"/>
              <w:numPr>
                <w:ilvl w:val="1"/>
                <w:numId w:val="5"/>
              </w:numPr>
              <w:ind w:left="1364" w:firstLineChars="0"/>
              <w:rPr>
                <w:lang w:eastAsia="ja-JP"/>
              </w:rPr>
            </w:pPr>
            <w:r>
              <w:rPr>
                <w:lang w:eastAsia="ja-JP"/>
              </w:rPr>
              <w:t xml:space="preserve">Whether and to what extent </w:t>
            </w:r>
            <w:r>
              <w:rPr>
                <w:szCs w:val="24"/>
                <w:lang w:eastAsia="zh-CN"/>
              </w:rPr>
              <w:t>restrict the use of the values of DRX cycle:</w:t>
            </w:r>
          </w:p>
          <w:p>
            <w:pPr>
              <w:pStyle w:val="72"/>
              <w:numPr>
                <w:ilvl w:val="2"/>
                <w:numId w:val="5"/>
              </w:numPr>
              <w:ind w:left="2084" w:firstLineChars="0"/>
              <w:rPr>
                <w:szCs w:val="21"/>
                <w:lang w:eastAsia="ja-JP"/>
              </w:rPr>
            </w:pPr>
            <w:r>
              <w:rPr>
                <w:szCs w:val="24"/>
                <w:lang w:eastAsia="zh-CN"/>
              </w:rPr>
              <w:t>FFS: Do not further restrict DRX cycle beyond Rel-17 NR NTN.</w:t>
            </w:r>
          </w:p>
          <w:p>
            <w:pPr>
              <w:pStyle w:val="72"/>
              <w:numPr>
                <w:ilvl w:val="0"/>
                <w:numId w:val="0"/>
              </w:numPr>
              <w:spacing w:after="120"/>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 xml:space="preserve">For coverage information, </w:t>
      </w:r>
      <w:r>
        <w:rPr>
          <w:rFonts w:hint="eastAsia"/>
          <w:sz w:val="22"/>
          <w:szCs w:val="22"/>
          <w:lang w:val="en-US" w:eastAsia="zh-CN"/>
        </w:rPr>
        <w:t>what we discussed is</w:t>
      </w:r>
      <w:r>
        <w:rPr>
          <w:rFonts w:hint="default"/>
          <w:sz w:val="22"/>
          <w:szCs w:val="22"/>
          <w:lang w:val="en-US" w:eastAsia="zh-CN"/>
        </w:rPr>
        <w:t xml:space="preserve"> based on the following two situations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 xml:space="preserve">1. Firstly, for </w:t>
      </w:r>
      <w:r>
        <w:rPr>
          <w:rFonts w:hint="eastAsia"/>
          <w:sz w:val="22"/>
          <w:szCs w:val="22"/>
          <w:lang w:val="en-US" w:eastAsia="zh-CN"/>
        </w:rPr>
        <w:t xml:space="preserve">earth </w:t>
      </w:r>
      <w:r>
        <w:rPr>
          <w:rFonts w:hint="default"/>
          <w:sz w:val="22"/>
          <w:szCs w:val="22"/>
          <w:lang w:val="en-US" w:eastAsia="zh-CN"/>
        </w:rPr>
        <w:t xml:space="preserve">fixed cells, time based method </w:t>
      </w:r>
      <w:r>
        <w:rPr>
          <w:rFonts w:hint="eastAsia"/>
          <w:sz w:val="22"/>
          <w:szCs w:val="22"/>
          <w:lang w:val="en-US" w:eastAsia="zh-CN"/>
        </w:rPr>
        <w:t>is</w:t>
      </w:r>
      <w:r>
        <w:rPr>
          <w:rFonts w:hint="default"/>
          <w:sz w:val="22"/>
          <w:szCs w:val="22"/>
          <w:lang w:val="en-US" w:eastAsia="zh-CN"/>
        </w:rPr>
        <w:t xml:space="preserve"> relatively easy to discuss compared to </w:t>
      </w:r>
      <w:r>
        <w:rPr>
          <w:rFonts w:hint="eastAsia"/>
          <w:sz w:val="22"/>
          <w:szCs w:val="22"/>
          <w:lang w:val="en-US" w:eastAsia="zh-CN"/>
        </w:rPr>
        <w:t xml:space="preserve">earth </w:t>
      </w:r>
      <w:r>
        <w:rPr>
          <w:rFonts w:hint="default"/>
          <w:sz w:val="22"/>
          <w:szCs w:val="22"/>
          <w:lang w:val="en-US" w:eastAsia="zh-CN"/>
        </w:rPr>
        <w:t xml:space="preserve">moving cells, as discussing time based for moving cells would be more complex and require consideration of satellite movement time, direction of cell coverage, UE movement time, etc. Compared to fixed cells, dynamic changes are significant, and based on the existing conclusions of RAN2, we will first discuss location based methods. After time based is not available, </w:t>
      </w:r>
      <w:r>
        <w:rPr>
          <w:rFonts w:hint="eastAsia"/>
          <w:sz w:val="22"/>
          <w:szCs w:val="22"/>
          <w:lang w:val="en-US" w:eastAsia="zh-CN"/>
        </w:rPr>
        <w:t>we would like</w:t>
      </w:r>
      <w:r>
        <w:rPr>
          <w:rFonts w:hint="default"/>
          <w:sz w:val="22"/>
          <w:szCs w:val="22"/>
          <w:lang w:val="en-US" w:eastAsia="zh-CN"/>
        </w:rPr>
        <w:t xml:space="preserve"> to ensure that location based is "definitely" available, which is also based on RAN2's existing conclusions. Therefore, </w:t>
      </w:r>
      <w:r>
        <w:rPr>
          <w:rFonts w:hint="eastAsia"/>
          <w:sz w:val="22"/>
          <w:szCs w:val="22"/>
          <w:lang w:val="en-US" w:eastAsia="zh-CN"/>
        </w:rPr>
        <w:t>we</w:t>
      </w:r>
      <w:r>
        <w:rPr>
          <w:rFonts w:hint="default"/>
          <w:sz w:val="22"/>
          <w:szCs w:val="22"/>
          <w:lang w:val="en-US" w:eastAsia="zh-CN"/>
        </w:rPr>
        <w:t xml:space="preserve"> propose coverage information, which mainly refers to NW informing UE of the coverage range of the cell. In R17, it did not consider this point and only considered NW informing UE of the distance threshold, Therefore, an additional restriction has been added to the earth moving cell to ensure that UE can complete cell re</w:t>
      </w:r>
      <w:r>
        <w:rPr>
          <w:rFonts w:hint="eastAsia"/>
          <w:sz w:val="22"/>
          <w:szCs w:val="22"/>
          <w:lang w:val="en-US" w:eastAsia="zh-CN"/>
        </w:rPr>
        <w:t>-</w:t>
      </w:r>
      <w:r>
        <w:rPr>
          <w:rFonts w:hint="default"/>
          <w:sz w:val="22"/>
          <w:szCs w:val="22"/>
          <w:lang w:val="en-US" w:eastAsia="zh-CN"/>
        </w:rPr>
        <w:t>selection.</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2. The idea of defining requirements in R17 can serve as a starting point, but RAN2 generally only studies the conditions of triggers</w:t>
      </w:r>
      <w:r>
        <w:rPr>
          <w:rFonts w:hint="eastAsia"/>
          <w:sz w:val="22"/>
          <w:szCs w:val="22"/>
          <w:lang w:val="en-US" w:eastAsia="zh-CN"/>
        </w:rPr>
        <w:t>, t</w:t>
      </w:r>
      <w:r>
        <w:rPr>
          <w:rFonts w:hint="default"/>
          <w:sz w:val="22"/>
          <w:szCs w:val="22"/>
          <w:lang w:val="en-US" w:eastAsia="zh-CN"/>
        </w:rPr>
        <w:t>hat is to say, what conditions are met before cell re</w:t>
      </w:r>
      <w:r>
        <w:rPr>
          <w:rFonts w:hint="eastAsia"/>
          <w:sz w:val="22"/>
          <w:szCs w:val="22"/>
          <w:lang w:val="en-US" w:eastAsia="zh-CN"/>
        </w:rPr>
        <w:t>-</w:t>
      </w:r>
      <w:r>
        <w:rPr>
          <w:rFonts w:hint="default"/>
          <w:sz w:val="22"/>
          <w:szCs w:val="22"/>
          <w:lang w:val="en-US" w:eastAsia="zh-CN"/>
        </w:rPr>
        <w:t>selection can be carried out, but there is no information to inform UE about the coverage of the service cell and whether it can effectively complete cell re</w:t>
      </w:r>
      <w:r>
        <w:rPr>
          <w:rFonts w:hint="eastAsia"/>
          <w:sz w:val="22"/>
          <w:szCs w:val="22"/>
          <w:lang w:val="en-US" w:eastAsia="zh-CN"/>
        </w:rPr>
        <w:t>-</w:t>
      </w:r>
      <w:r>
        <w:rPr>
          <w:rFonts w:hint="default"/>
          <w:sz w:val="22"/>
          <w:szCs w:val="22"/>
          <w:lang w:val="en-US" w:eastAsia="zh-CN"/>
        </w:rPr>
        <w:t>selection. Therefore, coverage information can currently be discussed in RAN4.</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 xml:space="preserve">Observation 3:  </w:t>
      </w:r>
      <w:r>
        <w:rPr>
          <w:rFonts w:hint="default"/>
          <w:b/>
          <w:bCs/>
          <w:sz w:val="22"/>
          <w:szCs w:val="22"/>
          <w:lang w:val="en-US" w:eastAsia="zh-CN"/>
        </w:rPr>
        <w:t>RAN2 generally only studies the conditions of triggers</w:t>
      </w:r>
      <w:r>
        <w:rPr>
          <w:rFonts w:hint="eastAsia"/>
          <w:b/>
          <w:bCs/>
          <w:sz w:val="22"/>
          <w:szCs w:val="22"/>
          <w:lang w:val="en-US" w:eastAsia="zh-CN"/>
        </w:rPr>
        <w:t>, t</w:t>
      </w:r>
      <w:r>
        <w:rPr>
          <w:rFonts w:hint="default"/>
          <w:b/>
          <w:bCs/>
          <w:sz w:val="22"/>
          <w:szCs w:val="22"/>
          <w:lang w:val="en-US" w:eastAsia="zh-CN"/>
        </w:rPr>
        <w:t>hat is to say, what conditions are met before cell re</w:t>
      </w:r>
      <w:r>
        <w:rPr>
          <w:rFonts w:hint="eastAsia"/>
          <w:b/>
          <w:bCs/>
          <w:sz w:val="22"/>
          <w:szCs w:val="22"/>
          <w:lang w:val="en-US" w:eastAsia="zh-CN"/>
        </w:rPr>
        <w:t>-</w:t>
      </w:r>
      <w:r>
        <w:rPr>
          <w:rFonts w:hint="default"/>
          <w:b/>
          <w:bCs/>
          <w:sz w:val="22"/>
          <w:szCs w:val="22"/>
          <w:lang w:val="en-US" w:eastAsia="zh-CN"/>
        </w:rPr>
        <w:t>selection can be carried out, but there is no information to inform UE about the coverage of the service cell and whether it can effectively complete cell re</w:t>
      </w:r>
      <w:r>
        <w:rPr>
          <w:rFonts w:hint="eastAsia"/>
          <w:b/>
          <w:bCs/>
          <w:sz w:val="22"/>
          <w:szCs w:val="22"/>
          <w:lang w:val="en-US" w:eastAsia="zh-CN"/>
        </w:rPr>
        <w:t>-</w:t>
      </w:r>
      <w:r>
        <w:rPr>
          <w:rFonts w:hint="default"/>
          <w:b/>
          <w:bCs/>
          <w:sz w:val="22"/>
          <w:szCs w:val="22"/>
          <w:lang w:val="en-US" w:eastAsia="zh-CN"/>
        </w:rPr>
        <w:t>selection</w:t>
      </w:r>
      <w:r>
        <w:rPr>
          <w:rFonts w:hint="eastAsia"/>
          <w:b/>
          <w:bCs/>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Proposal 4:  The serving cell coverage information is absolutely necessary and RAN4 shall discuss the details about this in this meeting.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For the second method, most companies do not agree that RAN4 could restrict the use of the values of DRX cycle since in R17 for earth moving cell we have already restrict the DRX cycle as below:</w:t>
      </w:r>
    </w:p>
    <w:p>
      <w:pPr>
        <w:pStyle w:val="53"/>
        <w:jc w:val="center"/>
        <w:rPr>
          <w:vertAlign w:val="subscript"/>
        </w:rPr>
      </w:pPr>
      <w:r>
        <w:t>Table 4.2C.2.2-1: N</w:t>
      </w:r>
      <w:r>
        <w:rPr>
          <w:vertAlign w:val="subscript"/>
        </w:rPr>
        <w:t>serv</w:t>
      </w:r>
    </w:p>
    <w:tbl>
      <w:tblPr>
        <w:tblStyle w:val="29"/>
        <w:tblW w:w="378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37"/>
        <w:gridCol w:w="2243"/>
        <w:gridCol w:w="2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DRX cycle length [s]</w:t>
            </w: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rPr>
            </w:pPr>
            <w:r>
              <w:rPr>
                <w:rFonts w:ascii="Arial" w:hAnsi="Arial"/>
                <w:b/>
                <w:sz w:val="18"/>
              </w:rPr>
              <w:t>Scaling Factor (N1)</w:t>
            </w:r>
          </w:p>
        </w:tc>
        <w:tc>
          <w:tcPr>
            <w:tcW w:w="2000" w:type="pct"/>
            <w:tcBorders>
              <w:top w:val="single" w:color="auto" w:sz="4" w:space="0"/>
              <w:left w:val="single" w:color="auto" w:sz="4" w:space="0"/>
              <w:bottom w:val="nil"/>
              <w:right w:val="single" w:color="auto" w:sz="4" w:space="0"/>
            </w:tcBorders>
          </w:tcPr>
          <w:p>
            <w:pPr>
              <w:keepNext/>
              <w:keepLines/>
              <w:spacing w:after="0"/>
              <w:jc w:val="center"/>
              <w:rPr>
                <w:rFonts w:ascii="Arial" w:hAnsi="Arial"/>
                <w:b/>
                <w:sz w:val="18"/>
              </w:rPr>
            </w:pPr>
            <w:r>
              <w:rPr>
                <w:rFonts w:ascii="Arial" w:hAnsi="Arial"/>
                <w:b/>
                <w:sz w:val="18"/>
              </w:rPr>
              <w:t>N</w:t>
            </w:r>
            <w:r>
              <w:rPr>
                <w:rFonts w:ascii="Arial" w:hAnsi="Arial"/>
                <w:b/>
                <w:sz w:val="18"/>
                <w:vertAlign w:val="subscript"/>
              </w:rPr>
              <w:t xml:space="preserve">serv </w:t>
            </w:r>
            <w:r>
              <w:rPr>
                <w:rFonts w:ascii="Arial" w:hAnsi="Arial"/>
                <w:b/>
                <w:sz w:val="18"/>
              </w:rPr>
              <w:t>[number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207" w:hRule="atLeast"/>
          <w:jc w:val="center"/>
        </w:trPr>
        <w:tc>
          <w:tcPr>
            <w:tcW w:w="1498"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c>
          <w:tcPr>
            <w:tcW w:w="1502"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vertAlign w:val="superscript"/>
              </w:rPr>
            </w:pPr>
            <w:r>
              <w:rPr>
                <w:rFonts w:ascii="Arial" w:hAnsi="Arial"/>
                <w:b/>
                <w:sz w:val="18"/>
              </w:rPr>
              <w:t>FR1</w:t>
            </w:r>
          </w:p>
        </w:tc>
        <w:tc>
          <w:tcPr>
            <w:tcW w:w="2000" w:type="pct"/>
            <w:tcBorders>
              <w:top w:val="nil"/>
              <w:left w:val="single" w:color="auto" w:sz="4" w:space="0"/>
              <w:bottom w:val="single" w:color="auto" w:sz="4" w:space="0"/>
              <w:right w:val="single" w:color="auto" w:sz="4" w:space="0"/>
            </w:tcBorders>
          </w:tcPr>
          <w:p>
            <w:pPr>
              <w:keepNext/>
              <w:keepLines/>
              <w:spacing w:after="0"/>
              <w:jc w:val="center"/>
              <w:rPr>
                <w:rFonts w:ascii="Arial" w:hAnsi="Arial"/>
                <w:b/>
                <w:sz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0.32</w:t>
            </w:r>
          </w:p>
        </w:tc>
        <w:tc>
          <w:tcPr>
            <w:tcW w:w="1502" w:type="pct"/>
            <w:vMerge w:val="restart"/>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cs="Arial"/>
                <w:sz w:val="16"/>
                <w:lang w:eastAsia="zh-CN"/>
              </w:rPr>
            </w:pPr>
            <w:r>
              <w:rPr>
                <w:rFonts w:ascii="Arial" w:hAnsi="Arial" w:cs="Arial"/>
                <w:sz w:val="16"/>
                <w:lang w:eastAsia="zh-CN"/>
              </w:rPr>
              <w:t>1</w:t>
            </w:r>
          </w:p>
          <w:p>
            <w:pPr>
              <w:keepNext/>
              <w:keepLines/>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0.64</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M1*N1*</w:t>
            </w:r>
            <w:r>
              <w:rPr>
                <w:rFonts w:ascii="Arial" w:hAnsi="Arial"/>
                <w:sz w:val="18"/>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1.28</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1498"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sz w:val="18"/>
              </w:rPr>
              <w:t>2.56</w:t>
            </w:r>
          </w:p>
        </w:tc>
        <w:tc>
          <w:tcPr>
            <w:tcW w:w="0" w:type="auto"/>
            <w:vMerge w:val="continue"/>
            <w:tcBorders>
              <w:top w:val="single" w:color="auto" w:sz="4" w:space="0"/>
              <w:left w:val="single" w:color="auto" w:sz="4" w:space="0"/>
              <w:bottom w:val="single" w:color="auto" w:sz="4" w:space="0"/>
              <w:right w:val="single" w:color="auto" w:sz="4" w:space="0"/>
            </w:tcBorders>
            <w:vAlign w:val="center"/>
          </w:tcPr>
          <w:p>
            <w:pPr>
              <w:spacing w:after="0"/>
              <w:jc w:val="center"/>
              <w:rPr>
                <w:rFonts w:ascii="Arial" w:hAnsi="Arial" w:cs="Arial"/>
                <w:sz w:val="16"/>
                <w:lang w:eastAsia="zh-CN"/>
              </w:rPr>
            </w:pPr>
          </w:p>
        </w:tc>
        <w:tc>
          <w:tcPr>
            <w:tcW w:w="2000" w:type="pct"/>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rPr>
            </w:pPr>
            <w:r>
              <w:rPr>
                <w:rFonts w:ascii="Arial" w:hAnsi="Arial" w:cs="Arial"/>
                <w:sz w:val="16"/>
                <w:lang w:eastAsia="zh-CN"/>
              </w:rPr>
              <w:t>N1*</w:t>
            </w:r>
            <w:r>
              <w:rPr>
                <w:rFonts w:ascii="Arial" w:hAnsi="Arial"/>
                <w:sz w:val="18"/>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5000" w:type="pct"/>
            <w:gridSpan w:val="3"/>
            <w:tcBorders>
              <w:top w:val="single" w:color="auto" w:sz="4" w:space="0"/>
              <w:left w:val="single" w:color="auto" w:sz="4" w:space="0"/>
              <w:bottom w:val="single" w:color="auto" w:sz="4" w:space="0"/>
              <w:right w:val="single" w:color="auto" w:sz="4" w:space="0"/>
            </w:tcBorders>
          </w:tcPr>
          <w:p>
            <w:pPr>
              <w:keepNext/>
              <w:keepLines/>
              <w:spacing w:after="0"/>
              <w:ind w:left="851" w:hanging="851"/>
              <w:jc w:val="center"/>
              <w:rPr>
                <w:rFonts w:ascii="Arial" w:hAnsi="Arial"/>
                <w:sz w:val="18"/>
                <w:lang w:eastAsia="zh-CN"/>
              </w:rPr>
            </w:pPr>
            <w:r>
              <w:rPr>
                <w:rFonts w:ascii="Arial" w:hAnsi="Arial"/>
                <w:sz w:val="18"/>
                <w:highlight w:val="yellow"/>
                <w:lang w:eastAsia="zh-CN"/>
              </w:rPr>
              <w:t>Note 1:</w:t>
            </w:r>
            <w:r>
              <w:rPr>
                <w:rFonts w:ascii="Arial" w:hAnsi="Arial"/>
                <w:sz w:val="18"/>
                <w:highlight w:val="yellow"/>
                <w:lang w:eastAsia="zh-CN"/>
              </w:rPr>
              <w:tab/>
            </w:r>
            <w:r>
              <w:rPr>
                <w:rFonts w:ascii="Arial" w:hAnsi="Arial"/>
                <w:sz w:val="18"/>
                <w:highlight w:val="yellow"/>
                <w:lang w:eastAsia="zh-CN"/>
              </w:rPr>
              <w:t>The UE is not required to meet the requirements for 2.56s DRX cycle length for earth-moving LEO deployment.</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Based on this, most companies deem that it is not necessary for RAN4 to restrict the value of DRX, and other methods can be discussed in this meeting.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4: In R17 for earth moving cell RAN4 has already restrict the DRX cycle.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 xml:space="preserve">For the second bullet, </w:t>
      </w:r>
      <w:r>
        <w:rPr>
          <w:rFonts w:hint="eastAsia"/>
          <w:sz w:val="22"/>
          <w:szCs w:val="22"/>
          <w:lang w:val="en-US" w:eastAsia="zh-CN"/>
        </w:rPr>
        <w:t>RAN4 had the agreements towards NTN-TN cell reselection enhancements (to reduce UE power consumption)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outlineLvl w:val="2"/>
              <w:rPr>
                <w:b/>
                <w:u w:val="single"/>
                <w:lang w:eastAsia="ko-KR"/>
              </w:rPr>
            </w:pPr>
            <w:r>
              <w:rPr>
                <w:b/>
                <w:u w:val="single"/>
                <w:lang w:eastAsia="ko-KR"/>
              </w:rPr>
              <w:t>Issue 4-2: NTN-TN Cell reselection enhancements (to reduce UE power consumption)</w:t>
            </w:r>
          </w:p>
          <w:p>
            <w:pPr>
              <w:pStyle w:val="72"/>
              <w:numPr>
                <w:ilvl w:val="0"/>
                <w:numId w:val="5"/>
              </w:numPr>
              <w:ind w:left="644" w:firstLineChars="0"/>
              <w:rPr>
                <w:lang w:eastAsia="ja-JP"/>
              </w:rPr>
            </w:pPr>
            <w:r>
              <w:rPr>
                <w:lang w:eastAsia="ja-JP"/>
              </w:rPr>
              <w:t>No agreement. Wait for further progress from RAN2. Companies can provide further analyses in the next meeting as usual. The analyses and discussions may depend on the following aspects:</w:t>
            </w:r>
          </w:p>
          <w:p>
            <w:pPr>
              <w:pStyle w:val="72"/>
              <w:numPr>
                <w:ilvl w:val="1"/>
                <w:numId w:val="5"/>
              </w:numPr>
              <w:ind w:left="1364" w:firstLineChars="0"/>
              <w:rPr>
                <w:lang w:eastAsia="ja-JP"/>
              </w:rPr>
            </w:pPr>
            <w:r>
              <w:rPr>
                <w:lang w:eastAsia="ja-JP"/>
              </w:rPr>
              <w:t>The direction of cell reselection, e.g. from TN to NTN, from NTN to TN</w:t>
            </w:r>
          </w:p>
          <w:p>
            <w:pPr>
              <w:pStyle w:val="72"/>
              <w:numPr>
                <w:ilvl w:val="1"/>
                <w:numId w:val="5"/>
              </w:numPr>
              <w:ind w:left="1364" w:firstLineChars="0"/>
              <w:rPr>
                <w:lang w:eastAsia="ja-JP"/>
              </w:rPr>
            </w:pPr>
            <w:r>
              <w:rPr>
                <w:lang w:eastAsia="ja-JP"/>
              </w:rPr>
              <w:t>The type of satellites, e.g. GEO, GSO, NGSO</w:t>
            </w:r>
          </w:p>
          <w:p>
            <w:pPr>
              <w:pStyle w:val="72"/>
              <w:numPr>
                <w:ilvl w:val="1"/>
                <w:numId w:val="5"/>
              </w:numPr>
              <w:ind w:left="1364" w:firstLineChars="0"/>
              <w:rPr>
                <w:lang w:eastAsia="ja-JP"/>
              </w:rPr>
            </w:pPr>
            <w:r>
              <w:rPr>
                <w:lang w:eastAsia="ja-JP"/>
              </w:rPr>
              <w:t>The type of NTN cell deployment, e.g. earth fixed cell vs. earth moving cell</w:t>
            </w:r>
          </w:p>
          <w:p>
            <w:pPr>
              <w:pStyle w:val="72"/>
              <w:numPr>
                <w:ilvl w:val="1"/>
                <w:numId w:val="5"/>
              </w:numPr>
              <w:ind w:left="1364" w:firstLineChars="0"/>
              <w:rPr>
                <w:lang w:eastAsia="ja-JP"/>
              </w:rPr>
            </w:pPr>
            <w:r>
              <w:rPr>
                <w:lang w:eastAsia="ja-JP"/>
              </w:rPr>
              <w:t xml:space="preserve">Accuracy of TN coverage information provided by NTN cell. </w:t>
            </w:r>
          </w:p>
          <w:p>
            <w:pPr>
              <w:pStyle w:val="72"/>
              <w:numPr>
                <w:ilvl w:val="1"/>
                <w:numId w:val="5"/>
              </w:numPr>
              <w:ind w:left="1364" w:firstLineChars="0"/>
              <w:rPr>
                <w:lang w:eastAsia="ja-JP"/>
              </w:rPr>
            </w:pPr>
            <w:r>
              <w:rPr>
                <w:lang w:eastAsia="ja-JP"/>
              </w:rPr>
              <w:t>Whether assistance information of neighbour NTN cells ( e.g. ephemeris data, frequency layer and PCI) provided by serving TN cell is mandatory in terms of RRM requirement definition/applicability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vertAlign w:val="baseline"/>
                <w:lang w:val="en-US" w:eastAsia="zh-CN"/>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lang w:val="en-US" w:eastAsia="zh-CN"/>
        </w:rPr>
        <w:t>And it</w:t>
      </w:r>
      <w:r>
        <w:rPr>
          <w:rFonts w:hint="eastAsia"/>
          <w:b/>
          <w:bCs/>
          <w:sz w:val="22"/>
          <w:szCs w:val="22"/>
          <w:lang w:val="en-US" w:eastAsia="zh-CN"/>
        </w:rPr>
        <w:t xml:space="preserve"> </w:t>
      </w:r>
      <w:r>
        <w:rPr>
          <w:rFonts w:eastAsiaTheme="minorEastAsia"/>
          <w:sz w:val="22"/>
          <w:szCs w:val="22"/>
          <w:lang w:eastAsia="zh-CN"/>
        </w:rPr>
        <w:t>is to specify cell reselection enhancements for RRC_IDLE/INACTIVE UEs to reduce UE power consumption</w:t>
      </w:r>
      <w:r>
        <w:rPr>
          <w:rFonts w:hint="eastAsia"/>
          <w:sz w:val="22"/>
          <w:szCs w:val="22"/>
          <w:lang w:val="en-US" w:eastAsia="zh-CN"/>
        </w:rPr>
        <w:t xml:space="preserve"> and the RAN2 has several agreements as below:</w:t>
      </w:r>
    </w:p>
    <w:tbl>
      <w:tblPr>
        <w:tblStyle w:val="30"/>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#119bis meeting:</w:t>
            </w:r>
          </w:p>
          <w:p>
            <w:pPr>
              <w:pStyle w:val="72"/>
              <w:numPr>
                <w:ilvl w:val="0"/>
                <w:numId w:val="13"/>
              </w:numPr>
              <w:ind w:left="420" w:leftChars="0" w:hanging="420" w:firstLineChars="0"/>
              <w:rPr>
                <w:rFonts w:hint="eastAsia"/>
                <w:lang w:val="en-GB"/>
              </w:rPr>
            </w:pPr>
            <w:r>
              <w:rPr>
                <w:rFonts w:ascii="Times New Roman" w:hAnsi="Times New Roman" w:cs="Times New Roman"/>
                <w:sz w:val="20"/>
                <w:szCs w:val="20"/>
                <w:lang w:val="en-GB"/>
              </w:rPr>
              <w:t>To enhance NTN-TN cell reselection, means are defined for a UE to differentiate when camping in an area only covered by NTN network (earth-moving or earth-fixed) vs an area where TN network(s) is/are also available.</w:t>
            </w:r>
          </w:p>
          <w:p>
            <w:pPr>
              <w:pStyle w:val="72"/>
              <w:numPr>
                <w:ilvl w:val="0"/>
                <w:numId w:val="13"/>
              </w:numPr>
              <w:ind w:left="420" w:leftChars="0" w:hanging="420" w:firstLineChars="0"/>
              <w:rPr>
                <w:rFonts w:hint="default" w:ascii="Times New Roman" w:hAnsi="Times New Roman" w:eastAsia="宋体" w:cs="Times New Roman"/>
                <w:sz w:val="20"/>
                <w:szCs w:val="20"/>
                <w:lang w:val="en-US" w:eastAsia="zh-CN"/>
              </w:rPr>
            </w:pPr>
            <w:r>
              <w:rPr>
                <w:rFonts w:ascii="Times New Roman" w:hAnsi="Times New Roman" w:cs="Times New Roman"/>
                <w:sz w:val="20"/>
                <w:szCs w:val="20"/>
                <w:lang w:val="en-GB"/>
              </w:rPr>
              <w:t>UE is not required to perform neighbour cell measurements for TN neighbour cells in an area where there is no TN network coverage.</w:t>
            </w:r>
          </w:p>
          <w:p>
            <w:pPr>
              <w:pStyle w:val="72"/>
              <w:numPr>
                <w:ilvl w:val="0"/>
                <w:numId w:val="13"/>
              </w:numPr>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RAN2 will first continue the investigation on the details of the TN coverage data (e.g. accuracy requirements for describing where TN network(s) is/are available) and UE storage overhead before deciding how to send the information to the UE.</w:t>
            </w:r>
          </w:p>
          <w:p>
            <w:pPr>
              <w:pStyle w:val="72"/>
              <w:numPr>
                <w:ilvl w:val="0"/>
                <w:numId w:val="13"/>
              </w:numPr>
              <w:ind w:left="420" w:leftChars="0" w:hanging="420" w:firstLineChars="0"/>
              <w:rPr>
                <w:rFonts w:ascii="Times New Roman" w:hAnsi="Times New Roman" w:cs="Times New Roman"/>
                <w:sz w:val="20"/>
                <w:szCs w:val="20"/>
                <w:lang w:val="en-GB"/>
              </w:rPr>
            </w:pPr>
            <w:r>
              <w:rPr>
                <w:rFonts w:ascii="Times New Roman" w:hAnsi="Times New Roman" w:cs="Times New Roman"/>
                <w:sz w:val="20"/>
                <w:szCs w:val="20"/>
                <w:lang w:val="en-GB"/>
              </w:rPr>
              <w:t>Continue the discussion on whether to introduce explicit indication to identify TN cells from inter-frequency list and inter-RAT frequency list (FFS on the granularity) or whether we rely on implicit information.</w:t>
            </w:r>
          </w:p>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#120 meeting:</w:t>
            </w:r>
          </w:p>
          <w:p>
            <w:pPr>
              <w:numPr>
                <w:ilvl w:val="0"/>
                <w:numId w:val="14"/>
              </w:numPr>
              <w:ind w:left="420" w:leftChars="0" w:hanging="420" w:firstLineChars="0"/>
              <w:rPr>
                <w:rFonts w:hint="default"/>
                <w:vertAlign w:val="baseline"/>
                <w:lang w:val="en-US" w:eastAsia="zh-CN"/>
              </w:rPr>
            </w:pPr>
            <w:r>
              <w:rPr>
                <w:rFonts w:hint="default"/>
                <w:vertAlign w:val="baseline"/>
                <w:lang w:val="en-US" w:eastAsia="zh-CN"/>
              </w:rPr>
              <w:t>RAN2 will first continue the investigation on the details of the TN coverage data (e.g. accuracy requirements for describing where TN network(s) is/are available) and UE storage overhead before deciding how to send the information to the UE.</w:t>
            </w:r>
          </w:p>
          <w:p>
            <w:pPr>
              <w:numPr>
                <w:ilvl w:val="0"/>
                <w:numId w:val="14"/>
              </w:numPr>
              <w:ind w:left="420" w:leftChars="0" w:hanging="420" w:firstLineChars="0"/>
              <w:rPr>
                <w:rFonts w:hint="default"/>
                <w:vertAlign w:val="baseline"/>
                <w:lang w:val="en-US" w:eastAsia="zh-CN"/>
              </w:rPr>
            </w:pPr>
            <w:r>
              <w:rPr>
                <w:rFonts w:hint="default"/>
                <w:vertAlign w:val="baseline"/>
                <w:lang w:val="en-US" w:eastAsia="zh-CN"/>
              </w:rPr>
              <w:t>Continue the discussion on whether to introduce explicit indication to identify TN cells from inter-frequency list and inter-RAT frequency list (FFS on the granularity) or whether we rely on implicit information.</w:t>
            </w:r>
          </w:p>
          <w:p>
            <w:pPr>
              <w:pStyle w:val="21"/>
              <w:numPr>
                <w:ilvl w:val="0"/>
                <w:numId w:val="0"/>
              </w:numPr>
              <w:overflowPunct w:val="0"/>
              <w:autoSpaceDE w:val="0"/>
              <w:autoSpaceDN w:val="0"/>
              <w:adjustRightInd w:val="0"/>
              <w:ind w:left="29" w:leftChars="0"/>
              <w:jc w:val="both"/>
              <w:textAlignment w:val="baseline"/>
              <w:rPr>
                <w:rFonts w:ascii="Times New Roman" w:hAnsi="Times New Roman" w:cs="Times New Roman"/>
                <w:sz w:val="20"/>
                <w:szCs w:val="20"/>
                <w:lang w:val="en-GB"/>
              </w:rPr>
            </w:pPr>
            <w:r>
              <w:rPr>
                <w:rFonts w:hint="eastAsia" w:eastAsia="宋体"/>
                <w:b/>
                <w:bCs/>
                <w:sz w:val="21"/>
                <w:szCs w:val="21"/>
                <w:lang w:val="en-US" w:eastAsia="zh-CN"/>
              </w:rPr>
              <w:t>In RAN2 #121 meeting:</w:t>
            </w:r>
          </w:p>
          <w:p>
            <w:pPr>
              <w:numPr>
                <w:ilvl w:val="0"/>
                <w:numId w:val="15"/>
              </w:numPr>
              <w:ind w:left="420" w:leftChars="0" w:hanging="420" w:firstLineChars="0"/>
              <w:rPr>
                <w:highlight w:val="none"/>
              </w:rPr>
            </w:pPr>
            <w:r>
              <w:rPr>
                <w:highlight w:val="none"/>
              </w:rPr>
              <w:t>TN coverage area information will be associated to the frequency information.</w:t>
            </w:r>
          </w:p>
          <w:p>
            <w:pPr>
              <w:numPr>
                <w:ilvl w:val="0"/>
                <w:numId w:val="15"/>
              </w:numPr>
              <w:ind w:left="420" w:leftChars="0" w:hanging="420" w:firstLineChars="0"/>
              <w:rPr>
                <w:highlight w:val="none"/>
              </w:rPr>
            </w:pPr>
            <w:r>
              <w:rPr>
                <w:highlight w:val="none"/>
              </w:rPr>
              <w:t>RAN2 adopts explicit description of geographical TN area, and focuses on the following options for further discussion, taking the signalling overhead into account (FFS on the accuracy of the information):</w:t>
            </w:r>
          </w:p>
          <w:p>
            <w:pPr>
              <w:pStyle w:val="72"/>
              <w:numPr>
                <w:ilvl w:val="0"/>
                <w:numId w:val="0"/>
              </w:numPr>
              <w:ind w:left="660" w:leftChars="330" w:firstLine="0" w:firstLineChars="0"/>
              <w:rPr>
                <w:highlight w:val="none"/>
              </w:rPr>
            </w:pPr>
            <w:r>
              <w:rPr>
                <w:highlight w:val="none"/>
              </w:rPr>
              <w:t>Option 1: The corresponding geographical area information is provided by network with location coordinates of area center and radius.</w:t>
            </w:r>
          </w:p>
          <w:p>
            <w:pPr>
              <w:pStyle w:val="72"/>
              <w:numPr>
                <w:ilvl w:val="0"/>
                <w:numId w:val="0"/>
              </w:numPr>
              <w:ind w:left="660" w:leftChars="330" w:firstLine="0" w:firstLineChars="0"/>
              <w:rPr>
                <w:highlight w:val="none"/>
              </w:rPr>
            </w:pPr>
            <w:r>
              <w:rPr>
                <w:highlight w:val="none"/>
              </w:rPr>
              <w:t>Option 2: a boundary line is provided by network in the format of a list of location coordinates, additionally an indication can be used to indicate which side is the TN side</w:t>
            </w:r>
          </w:p>
          <w:p>
            <w:pPr>
              <w:numPr>
                <w:ilvl w:val="0"/>
                <w:numId w:val="0"/>
              </w:numPr>
              <w:ind w:left="600" w:leftChars="300" w:firstLine="0" w:firstLineChars="0"/>
              <w:rPr>
                <w:highlight w:val="none"/>
              </w:rPr>
            </w:pPr>
            <w:r>
              <w:rPr>
                <w:highlight w:val="none"/>
              </w:rPr>
              <w:t xml:space="preserve">Option 6: for each TN area, a list of locations is provided by network, and the corresponding close shape </w:t>
            </w:r>
            <w:r>
              <w:rPr>
                <w:rFonts w:hint="eastAsia" w:eastAsia="宋体"/>
                <w:highlight w:val="none"/>
                <w:lang w:val="en-US" w:eastAsia="zh-CN"/>
              </w:rPr>
              <w:t xml:space="preserve">  </w:t>
            </w:r>
            <w:r>
              <w:rPr>
                <w:highlight w:val="none"/>
              </w:rPr>
              <w:t>could be illustrated by a polygon connecting these points within the list.</w:t>
            </w:r>
          </w:p>
          <w:p>
            <w:pPr>
              <w:numPr>
                <w:ilvl w:val="0"/>
                <w:numId w:val="15"/>
              </w:numPr>
              <w:ind w:left="420" w:leftChars="0" w:hanging="420" w:firstLineChars="0"/>
              <w:rPr>
                <w:rFonts w:hint="default"/>
                <w:vertAlign w:val="baseline"/>
                <w:lang w:val="en-US" w:eastAsia="zh-CN"/>
              </w:rPr>
            </w:pPr>
            <w:r>
              <w:rPr>
                <w:highlight w:val="none"/>
              </w:rPr>
              <w:t>We don’t introduce additional cell reselection prioritization rules for NTN vs TN in Rel-18 (e.g. per service type, per mobility state, or per UE type) on top of what specified in Rel-17</w:t>
            </w: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default"/>
          <w:sz w:val="22"/>
          <w:szCs w:val="22"/>
          <w:lang w:val="en-US" w:eastAsia="zh-CN"/>
        </w:rPr>
        <w:t xml:space="preserve">The conclusion of RAN2 is that TN coverage will be broadcast in NTN, but the specific granularity has not yet been determined. However, considering that the </w:t>
      </w:r>
      <w:r>
        <w:rPr>
          <w:rFonts w:hint="eastAsia"/>
          <w:sz w:val="22"/>
          <w:szCs w:val="22"/>
          <w:lang w:val="en-US" w:eastAsia="zh-CN"/>
        </w:rPr>
        <w:t>system information</w:t>
      </w:r>
      <w:r>
        <w:rPr>
          <w:rFonts w:hint="default"/>
          <w:sz w:val="22"/>
          <w:szCs w:val="22"/>
          <w:lang w:val="en-US" w:eastAsia="zh-CN"/>
        </w:rPr>
        <w:t xml:space="preserve"> is delivered through broadcast, there is a high probability that it will not be broadcast per cell. A broadcast TN coverage area may contain one or more TN cells, and the specific aggregation depends on the network implementation. The reason is that the size of the SI may be too large for broadcast cell granularity information. The second reason is to avoid exposing the location of the base station</w:t>
      </w:r>
      <w:r>
        <w:rPr>
          <w:rFonts w:hint="eastAsia"/>
          <w:sz w:val="22"/>
          <w:szCs w:val="22"/>
          <w:lang w:val="en-US" w:eastAsia="zh-CN"/>
        </w:rPr>
        <w:t>. And the scenario discussed in RAN2 is that the UE resides in NTN, and then in areas without TN coverage, there is no need to perform adjacent measurement of TN frequency points, that is, the UE will still reside on NTN, and the premise for triggering the location-based cell re-selection measurement is that the UE currently resides in NTN since the relevant parameters are broadcast in SIB19. So in areas without TN network coverage, UE does not need to measure in TN neighboring cells, thereby achieving the goal of power saving.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 xml:space="preserve">Secondly,  we have three scenarios as below: </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sz w:val="22"/>
          <w:szCs w:val="22"/>
          <w:lang w:val="en-US" w:eastAsia="zh-CN"/>
        </w:rPr>
      </w:pPr>
      <w:r>
        <w:rPr>
          <w:rFonts w:hint="default"/>
          <w:sz w:val="22"/>
          <w:szCs w:val="22"/>
          <w:lang w:val="en-US" w:eastAsia="zh-CN"/>
        </w:rPr>
        <w:drawing>
          <wp:inline distT="0" distB="0" distL="114300" distR="114300">
            <wp:extent cx="4455160" cy="3011805"/>
            <wp:effectExtent l="0" t="0" r="0" b="0"/>
            <wp:docPr id="3" name="图片 3" descr="NTN-TN_总场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NTN-TN_总场景"/>
                    <pic:cNvPicPr>
                      <a:picLocks noChangeAspect="1"/>
                    </pic:cNvPicPr>
                  </pic:nvPicPr>
                  <pic:blipFill>
                    <a:blip r:embed="rId9"/>
                    <a:stretch>
                      <a:fillRect/>
                    </a:stretch>
                  </pic:blipFill>
                  <pic:spPr>
                    <a:xfrm>
                      <a:off x="0" y="0"/>
                      <a:ext cx="4455160" cy="3011805"/>
                    </a:xfrm>
                    <a:prstGeom prst="rect">
                      <a:avLst/>
                    </a:prstGeom>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firstLine="3300" w:firstLineChars="1500"/>
        <w:jc w:val="both"/>
        <w:textAlignment w:val="auto"/>
        <w:rPr>
          <w:rFonts w:hint="eastAsia"/>
          <w:sz w:val="22"/>
          <w:szCs w:val="22"/>
          <w:lang w:val="en-US" w:eastAsia="zh-CN"/>
        </w:rPr>
      </w:pPr>
      <w:r>
        <w:rPr>
          <w:rFonts w:hint="eastAsia"/>
          <w:sz w:val="22"/>
          <w:szCs w:val="22"/>
          <w:lang w:val="en-US" w:eastAsia="zh-CN"/>
        </w:rPr>
        <w:t>Figure 3  NTN-TN scenarios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 xml:space="preserve">Based on the agreements and conclusions from RAN2, scenario (c) whether the UE can do the measurement in TN neighbouring cell or not which is up to the NW implementation.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As for scenario (b) the partial overlap between the TN coverage and the NTN coverage. As we all know that for NTN/TN UE the cell re-selection measurement for TN neighbouring cell measurement has the higher priority, but for this scenario the UE is close to TN coverage but camp on the NTN cell, there is one point that is contradictory that whether the UE measure the TN neighbour cell. If the UE measure the TN neighbouring cell the power saving maybe not be met, on the contrary, if the UE is still in the NTN cell and doesn</w:t>
      </w:r>
      <w:r>
        <w:rPr>
          <w:rFonts w:hint="default"/>
          <w:sz w:val="22"/>
          <w:szCs w:val="22"/>
          <w:lang w:val="en-US" w:eastAsia="zh-CN"/>
        </w:rPr>
        <w:t>’</w:t>
      </w:r>
      <w:r>
        <w:rPr>
          <w:rFonts w:hint="eastAsia"/>
          <w:sz w:val="22"/>
          <w:szCs w:val="22"/>
          <w:lang w:val="en-US" w:eastAsia="zh-CN"/>
        </w:rPr>
        <w:t>t perform TN neighbouring cell measurement, it can save the power consumption but how about the higher priority for TN neighbouring cell measurement. The same situation as scenario (a) full overlap between the TN coverage and the NTN coverage.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sz w:val="22"/>
          <w:szCs w:val="22"/>
          <w:lang w:val="en-US" w:eastAsia="zh-CN"/>
        </w:rPr>
        <w:t>Therefore, we deem that more RAN2 outcomes shall be needed and RAN4 can send LS to RAN2 to consider the scenario (a) and scenario (b) and let RAN2 provide the additional information for NTN-TN mobility so as to save the power saving, if necessary.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5: As for scenario the partial and full overlap between the TN coverage and the NTN coverage, if the UE measure the TN neighbouring cell the power saving maybe not be met, on the contrary, if the UE is still in the NTN cell and doesn</w:t>
      </w:r>
      <w:r>
        <w:rPr>
          <w:rFonts w:hint="default"/>
          <w:b/>
          <w:bCs/>
          <w:sz w:val="22"/>
          <w:szCs w:val="22"/>
          <w:lang w:val="en-US" w:eastAsia="zh-CN"/>
        </w:rPr>
        <w:t>’</w:t>
      </w:r>
      <w:r>
        <w:rPr>
          <w:rFonts w:hint="eastAsia"/>
          <w:b/>
          <w:bCs/>
          <w:sz w:val="22"/>
          <w:szCs w:val="22"/>
          <w:lang w:val="en-US" w:eastAsia="zh-CN"/>
        </w:rPr>
        <w:t>t perform TN neighbouring cell measurement, it can save the power consumption but how about the higher priority for TN neighbouring cell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5: RAN4 to discuss potential RRM impacts for NTN-TN mobility when there are enough outcomes in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6: RAN4 can send LS to RAN2 to consider the scenario that the partial and full overlap between the TN coverage and the NTN coverage and let RAN2 provide the additional information for NTN-TN mobility so as to save the power consumption, if necessary.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p>
    <w:p>
      <w:pPr>
        <w:pStyle w:val="76"/>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hint="eastAsia" w:eastAsia="宋体"/>
          <w:lang w:val="en-US" w:eastAsia="zh-CN"/>
        </w:rPr>
        <w:t>RRM requirements on R18 NR NTN enhancement</w:t>
      </w:r>
      <w:r>
        <w:rPr>
          <w:rFonts w:eastAsia="宋体"/>
          <w:lang w:eastAsia="zh-CN"/>
        </w:rPr>
        <w:t>.</w:t>
      </w:r>
    </w:p>
    <w:p>
      <w:pPr>
        <w:spacing w:before="120" w:after="120"/>
        <w:rPr>
          <w:rFonts w:hint="default" w:eastAsia="宋体"/>
          <w:b/>
          <w:bCs/>
          <w:sz w:val="24"/>
          <w:szCs w:val="24"/>
          <w:lang w:val="en-US" w:eastAsia="zh-CN"/>
        </w:rPr>
      </w:pPr>
      <w:r>
        <w:rPr>
          <w:rFonts w:hint="eastAsia" w:eastAsia="宋体"/>
          <w:b/>
          <w:bCs/>
          <w:sz w:val="24"/>
          <w:szCs w:val="24"/>
          <w:lang w:val="en-US" w:eastAsia="zh-CN"/>
        </w:rPr>
        <w:t>Observations:</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2"/>
          <w:szCs w:val="22"/>
          <w:lang w:val="en-US" w:eastAsia="zh-CN"/>
        </w:rPr>
      </w:pPr>
      <w:r>
        <w:rPr>
          <w:rFonts w:hint="eastAsia"/>
          <w:b/>
          <w:bCs/>
          <w:sz w:val="22"/>
          <w:szCs w:val="22"/>
          <w:lang w:val="en-US" w:eastAsia="zh-CN"/>
        </w:rPr>
        <w:t>Observation 1: For earth-moving cell, the location-based cell measurement rules of quasi-fixed cell is reused.</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b/>
          <w:bCs/>
          <w:sz w:val="22"/>
          <w:szCs w:val="22"/>
          <w:lang w:val="en-US" w:eastAsia="zh-CN"/>
        </w:rPr>
        <w:t>Observation 2: Both of two scenarios can not complete the cell re-selection based on the current requirements, so more information and parameters for cell re-selection shall be needed</w:t>
      </w:r>
      <w:r>
        <w:rPr>
          <w:rFonts w:hint="eastAsia"/>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 xml:space="preserve">Observation 3:  </w:t>
      </w:r>
      <w:r>
        <w:rPr>
          <w:rFonts w:hint="default"/>
          <w:b/>
          <w:bCs/>
          <w:sz w:val="22"/>
          <w:szCs w:val="22"/>
          <w:lang w:val="en-US" w:eastAsia="zh-CN"/>
        </w:rPr>
        <w:t>RAN2 generally only studies the conditions of triggers</w:t>
      </w:r>
      <w:r>
        <w:rPr>
          <w:rFonts w:hint="eastAsia"/>
          <w:b/>
          <w:bCs/>
          <w:sz w:val="22"/>
          <w:szCs w:val="22"/>
          <w:lang w:val="en-US" w:eastAsia="zh-CN"/>
        </w:rPr>
        <w:t>, t</w:t>
      </w:r>
      <w:r>
        <w:rPr>
          <w:rFonts w:hint="default"/>
          <w:b/>
          <w:bCs/>
          <w:sz w:val="22"/>
          <w:szCs w:val="22"/>
          <w:lang w:val="en-US" w:eastAsia="zh-CN"/>
        </w:rPr>
        <w:t>hat is to say, what conditions are met before cell re</w:t>
      </w:r>
      <w:r>
        <w:rPr>
          <w:rFonts w:hint="eastAsia"/>
          <w:b/>
          <w:bCs/>
          <w:sz w:val="22"/>
          <w:szCs w:val="22"/>
          <w:lang w:val="en-US" w:eastAsia="zh-CN"/>
        </w:rPr>
        <w:t>-</w:t>
      </w:r>
      <w:r>
        <w:rPr>
          <w:rFonts w:hint="default"/>
          <w:b/>
          <w:bCs/>
          <w:sz w:val="22"/>
          <w:szCs w:val="22"/>
          <w:lang w:val="en-US" w:eastAsia="zh-CN"/>
        </w:rPr>
        <w:t>selection can be carried out, but there is no information to inform UE about the coverage of the service cell and whether it can effectively complete cell re</w:t>
      </w:r>
      <w:r>
        <w:rPr>
          <w:rFonts w:hint="eastAsia"/>
          <w:b/>
          <w:bCs/>
          <w:sz w:val="22"/>
          <w:szCs w:val="22"/>
          <w:lang w:val="en-US" w:eastAsia="zh-CN"/>
        </w:rPr>
        <w:t>-</w:t>
      </w:r>
      <w:r>
        <w:rPr>
          <w:rFonts w:hint="default"/>
          <w:b/>
          <w:bCs/>
          <w:sz w:val="22"/>
          <w:szCs w:val="22"/>
          <w:lang w:val="en-US" w:eastAsia="zh-CN"/>
        </w:rPr>
        <w:t>selection</w:t>
      </w:r>
      <w:r>
        <w:rPr>
          <w:rFonts w:hint="eastAsia"/>
          <w:b/>
          <w:bCs/>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sz w:val="22"/>
          <w:szCs w:val="22"/>
          <w:lang w:val="en-US" w:eastAsia="zh-CN"/>
        </w:rPr>
      </w:pPr>
      <w:r>
        <w:rPr>
          <w:rFonts w:hint="eastAsia"/>
          <w:b/>
          <w:bCs/>
          <w:sz w:val="22"/>
          <w:szCs w:val="22"/>
          <w:lang w:val="en-US" w:eastAsia="zh-CN"/>
        </w:rPr>
        <w:t>Observation 4: In R17 for earth moving cell RAN4 has already restrict the DRX cycle.</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Observation 5: As for scenario the partial and full overlap between the TN coverage and the NTN coverage, if the UE measure the TN neighbouring cell the power saving maybe not be met, on the contrary, if the UE is still in the NTN cell and doesn</w:t>
      </w:r>
      <w:r>
        <w:rPr>
          <w:rFonts w:hint="default"/>
          <w:b/>
          <w:bCs/>
          <w:sz w:val="22"/>
          <w:szCs w:val="22"/>
          <w:lang w:val="en-US" w:eastAsia="zh-CN"/>
        </w:rPr>
        <w:t>’</w:t>
      </w:r>
      <w:r>
        <w:rPr>
          <w:rFonts w:hint="eastAsia"/>
          <w:b/>
          <w:bCs/>
          <w:sz w:val="22"/>
          <w:szCs w:val="22"/>
          <w:lang w:val="en-US" w:eastAsia="zh-CN"/>
        </w:rPr>
        <w:t>t perform TN neighbouring cell measurement, it can save the power consumption but how about the higher priority for TN neighbouring cell measurement.</w:t>
      </w:r>
    </w:p>
    <w:p>
      <w:pPr>
        <w:spacing w:before="120" w:after="120"/>
        <w:rPr>
          <w:rFonts w:eastAsia="宋体"/>
          <w:lang w:eastAsia="zh-CN"/>
        </w:rPr>
      </w:pPr>
    </w:p>
    <w:p>
      <w:pPr>
        <w:spacing w:before="120" w:after="120"/>
        <w:rPr>
          <w:rFonts w:hint="eastAsia" w:eastAsia="宋体"/>
          <w:b/>
          <w:bCs/>
          <w:sz w:val="24"/>
          <w:szCs w:val="24"/>
          <w:lang w:val="en-US" w:eastAsia="zh-CN"/>
        </w:rPr>
      </w:pPr>
      <w:r>
        <w:rPr>
          <w:rFonts w:hint="eastAsia" w:eastAsia="宋体"/>
          <w:b/>
          <w:bCs/>
          <w:sz w:val="24"/>
          <w:szCs w:val="24"/>
          <w:lang w:val="en-US" w:eastAsia="zh-CN"/>
        </w:rPr>
        <w:t>Proposals:</w:t>
      </w:r>
    </w:p>
    <w:p>
      <w:pPr>
        <w:pStyle w:val="81"/>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 xml:space="preserve">Proposal 1: The current requirements for FR1 shall be the baseline or the starting point when RAN4 defines the requirements for NR NTN in above 10GHz.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sz w:val="22"/>
          <w:szCs w:val="22"/>
          <w:lang w:val="en-US" w:eastAsia="zh-CN"/>
        </w:rPr>
        <w:t xml:space="preserve">Proposal 2: </w:t>
      </w:r>
      <w:r>
        <w:rPr>
          <w:rFonts w:hint="eastAsia"/>
          <w:b/>
          <w:bCs/>
          <w:color w:val="000000"/>
          <w:sz w:val="22"/>
          <w:szCs w:val="22"/>
          <w:lang w:val="en-US" w:eastAsia="zh-CN"/>
        </w:rPr>
        <w:t>The current requirements for quasi-fixed cell shall be the baseline or the starting point when defining the requirements for earth moving cell.</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color w:val="000000"/>
          <w:sz w:val="22"/>
          <w:szCs w:val="22"/>
          <w:lang w:val="en-US" w:eastAsia="zh-CN"/>
        </w:rPr>
      </w:pPr>
      <w:r>
        <w:rPr>
          <w:rFonts w:hint="eastAsia"/>
          <w:b/>
          <w:bCs/>
          <w:color w:val="000000"/>
          <w:sz w:val="22"/>
          <w:szCs w:val="22"/>
          <w:lang w:val="en-US" w:eastAsia="zh-CN"/>
        </w:rPr>
        <w:t>Proposal 3: Wait for more RAN2 outcomes on information and parameters to be used for the cell re-selection measurement.</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sz w:val="22"/>
          <w:szCs w:val="22"/>
          <w:lang w:val="en-US" w:eastAsia="zh-CN"/>
        </w:rPr>
      </w:pPr>
      <w:r>
        <w:rPr>
          <w:rFonts w:hint="eastAsia"/>
          <w:b/>
          <w:bCs/>
          <w:sz w:val="22"/>
          <w:szCs w:val="22"/>
          <w:lang w:val="en-US" w:eastAsia="zh-CN"/>
        </w:rPr>
        <w:t>Proposal 4:  The serving cell coverage information is absolutely necessary and RAN4 shall discuss the details about this in this meeting.</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5: RAN4 to discuss potential RRM impacts for NTN-TN mobility when there are enough outcomes in RAN2.</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r>
        <w:rPr>
          <w:rFonts w:hint="eastAsia"/>
          <w:b/>
          <w:bCs/>
          <w:sz w:val="22"/>
          <w:szCs w:val="22"/>
          <w:lang w:val="en-US" w:eastAsia="zh-CN"/>
        </w:rPr>
        <w:t>Proposal 6: RAN4 can send LS to RAN2 to consider the scenario that the partial and full overlap between the TN coverage and the NTN coverage and let RAN2 provide the additional information for NTN-TN mobility so as to save the power consumption, if necessary.</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b/>
          <w:bCs/>
          <w:sz w:val="22"/>
          <w:szCs w:val="22"/>
          <w:lang w:val="en-US" w:eastAsia="zh-CN"/>
        </w:rPr>
      </w:pPr>
    </w:p>
    <w:p>
      <w:pPr>
        <w:pStyle w:val="76"/>
        <w:numPr>
          <w:ilvl w:val="0"/>
          <w:numId w:val="0"/>
        </w:numPr>
        <w:ind w:left="360" w:hanging="360"/>
        <w:rPr>
          <w:lang w:val="en-US"/>
        </w:rPr>
      </w:pPr>
      <w:r>
        <w:rPr>
          <w:lang w:val="en-US"/>
        </w:rPr>
        <w:t>References</w:t>
      </w:r>
    </w:p>
    <w:p>
      <w:pPr>
        <w:rPr>
          <w:rFonts w:hint="default"/>
          <w:lang w:val="en-US"/>
        </w:rPr>
      </w:pPr>
      <w:bookmarkStart w:id="0" w:name="_Ref114500673"/>
      <w:bookmarkEnd w:id="0"/>
      <w:r>
        <w:rPr>
          <w:rFonts w:hint="eastAsia" w:eastAsia="宋体"/>
          <w:lang w:val="en-US" w:eastAsia="zh-CN"/>
        </w:rPr>
        <w:t xml:space="preserve">[1] </w:t>
      </w:r>
      <w:r>
        <w:t>RP-2</w:t>
      </w:r>
      <w:r>
        <w:rPr>
          <w:rFonts w:hint="eastAsia"/>
          <w:lang w:val="en-US" w:eastAsia="zh-CN"/>
        </w:rPr>
        <w:t>23534</w:t>
      </w:r>
      <w:r>
        <w:rPr>
          <w:rFonts w:hint="eastAsia"/>
          <w:lang w:eastAsia="zh-CN"/>
        </w:rPr>
        <w:t>,</w:t>
      </w:r>
      <w:r>
        <w:rPr>
          <w:lang w:eastAsia="zh-CN"/>
        </w:rPr>
        <w:t xml:space="preserve"> </w:t>
      </w:r>
      <w:r>
        <w:rPr>
          <w:rFonts w:hint="eastAsia"/>
          <w:lang w:eastAsia="zh-CN"/>
        </w:rPr>
        <w:t>Revised WID: NR NTN (Non-Terrestrial Networks) enhancements</w:t>
      </w:r>
      <w:r>
        <w:rPr>
          <w:lang w:eastAsia="zh-CN"/>
        </w:rPr>
        <w:t xml:space="preserve">, </w:t>
      </w:r>
      <w:r>
        <w:rPr>
          <w:rFonts w:hint="eastAsia"/>
          <w:lang w:val="en-US" w:eastAsia="zh-CN"/>
        </w:rPr>
        <w:t>Thales.</w:t>
      </w:r>
    </w:p>
    <w:p>
      <w:pPr>
        <w:rPr>
          <w:rFonts w:hint="eastAsia"/>
          <w:lang w:val="en-US" w:eastAsia="zh-CN"/>
        </w:rPr>
      </w:pPr>
      <w:r>
        <w:rPr>
          <w:rFonts w:hint="eastAsia"/>
          <w:lang w:val="en-US" w:eastAsia="zh-CN"/>
        </w:rPr>
        <w:t>[2] R4-2306358, WF on NR NTN enhancement RRM requirements, Qualcomm.</w:t>
      </w:r>
    </w:p>
    <w:p>
      <w:pPr>
        <w:rPr>
          <w:rFonts w:hint="eastAsia"/>
          <w:lang w:val="en-US" w:eastAsia="zh-CN"/>
        </w:rPr>
      </w:pPr>
      <w:r>
        <w:rPr>
          <w:rFonts w:hint="eastAsia"/>
          <w:lang w:val="en-US" w:eastAsia="zh-CN"/>
        </w:rPr>
        <w:t>[3] R4-2301340, Discussion on RRM requirements for NTN enhancement, Vivo.</w:t>
      </w:r>
    </w:p>
    <w:p>
      <w:pPr>
        <w:rPr>
          <w:rFonts w:hint="default"/>
          <w:lang w:val="en-US" w:eastAsia="zh-CN"/>
        </w:rPr>
      </w:pPr>
    </w:p>
    <w:p>
      <w:pPr>
        <w:keepNext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MS Mincho">
    <w:altName w:val="Yu Gothic UI"/>
    <w:panose1 w:val="02020609040205080304"/>
    <w:charset w:val="80"/>
    <w:family w:val="modern"/>
    <w:pitch w:val="default"/>
    <w:sig w:usb0="00000000" w:usb1="00000000" w:usb2="08000012" w:usb3="00000000" w:csb0="0002009F"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Cambria Math">
    <w:panose1 w:val="02040503050406030204"/>
    <w:charset w:val="00"/>
    <w:family w:val="auto"/>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Malgun Gothic">
    <w:panose1 w:val="020B0503020000020004"/>
    <w:charset w:val="81"/>
    <w:family w:val="swiss"/>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6"/>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833AFD0"/>
    <w:multiLevelType w:val="singleLevel"/>
    <w:tmpl w:val="9833AFD0"/>
    <w:lvl w:ilvl="0" w:tentative="0">
      <w:start w:val="1"/>
      <w:numFmt w:val="bullet"/>
      <w:lvlText w:val=""/>
      <w:lvlJc w:val="left"/>
      <w:pPr>
        <w:ind w:left="420" w:leftChars="0" w:hanging="420" w:firstLineChars="0"/>
      </w:pPr>
      <w:rPr>
        <w:rFonts w:hint="default" w:ascii="Wingdings" w:hAnsi="Wingdings"/>
      </w:rPr>
    </w:lvl>
  </w:abstractNum>
  <w:abstractNum w:abstractNumId="1">
    <w:nsid w:val="99692C75"/>
    <w:multiLevelType w:val="singleLevel"/>
    <w:tmpl w:val="99692C75"/>
    <w:lvl w:ilvl="0" w:tentative="0">
      <w:start w:val="1"/>
      <w:numFmt w:val="bullet"/>
      <w:lvlText w:val=""/>
      <w:lvlJc w:val="left"/>
      <w:pPr>
        <w:ind w:left="420" w:hanging="420"/>
      </w:pPr>
      <w:rPr>
        <w:rFonts w:hint="default" w:ascii="Wingdings" w:hAnsi="Wingdings"/>
      </w:rPr>
    </w:lvl>
  </w:abstractNum>
  <w:abstractNum w:abstractNumId="2">
    <w:nsid w:val="BD5BA5E1"/>
    <w:multiLevelType w:val="singleLevel"/>
    <w:tmpl w:val="BD5BA5E1"/>
    <w:lvl w:ilvl="0" w:tentative="0">
      <w:start w:val="1"/>
      <w:numFmt w:val="bullet"/>
      <w:lvlText w:val=""/>
      <w:lvlJc w:val="left"/>
      <w:pPr>
        <w:ind w:left="420" w:hanging="420"/>
      </w:pPr>
      <w:rPr>
        <w:rFonts w:hint="default" w:ascii="Wingdings" w:hAnsi="Wingdings"/>
      </w:rPr>
    </w:lvl>
  </w:abstractNum>
  <w:abstractNum w:abstractNumId="3">
    <w:nsid w:val="C9C7DE5A"/>
    <w:multiLevelType w:val="singleLevel"/>
    <w:tmpl w:val="C9C7DE5A"/>
    <w:lvl w:ilvl="0" w:tentative="0">
      <w:start w:val="1"/>
      <w:numFmt w:val="bullet"/>
      <w:lvlText w:val=""/>
      <w:lvlJc w:val="left"/>
      <w:pPr>
        <w:ind w:left="420" w:hanging="420"/>
      </w:pPr>
      <w:rPr>
        <w:rFonts w:hint="default" w:ascii="Wingdings" w:hAnsi="Wingdings"/>
      </w:rPr>
    </w:lvl>
  </w:abstractNum>
  <w:abstractNum w:abstractNumId="4">
    <w:nsid w:val="E5B2E94B"/>
    <w:multiLevelType w:val="singleLevel"/>
    <w:tmpl w:val="E5B2E94B"/>
    <w:lvl w:ilvl="0" w:tentative="0">
      <w:start w:val="1"/>
      <w:numFmt w:val="bullet"/>
      <w:lvlText w:val=""/>
      <w:lvlJc w:val="left"/>
      <w:pPr>
        <w:ind w:left="420" w:hanging="420"/>
      </w:pPr>
      <w:rPr>
        <w:rFonts w:hint="default" w:ascii="Wingdings" w:hAnsi="Wingdings"/>
      </w:rPr>
    </w:lvl>
  </w:abstractNum>
  <w:abstractNum w:abstractNumId="5">
    <w:nsid w:val="F994BEF6"/>
    <w:multiLevelType w:val="singleLevel"/>
    <w:tmpl w:val="F994BEF6"/>
    <w:lvl w:ilvl="0" w:tentative="0">
      <w:start w:val="1"/>
      <w:numFmt w:val="bullet"/>
      <w:lvlText w:val=""/>
      <w:lvlJc w:val="left"/>
      <w:pPr>
        <w:ind w:left="420" w:hanging="420"/>
      </w:pPr>
      <w:rPr>
        <w:rFonts w:hint="default" w:ascii="Wingdings" w:hAnsi="Wingdings"/>
      </w:rPr>
    </w:lvl>
  </w:abstractNum>
  <w:abstractNum w:abstractNumId="6">
    <w:nsid w:val="091FEBE7"/>
    <w:multiLevelType w:val="singleLevel"/>
    <w:tmpl w:val="091FEBE7"/>
    <w:lvl w:ilvl="0" w:tentative="0">
      <w:start w:val="1"/>
      <w:numFmt w:val="decimal"/>
      <w:suff w:val="space"/>
      <w:lvlText w:val="%1."/>
      <w:lvlJc w:val="left"/>
    </w:lvl>
  </w:abstractNum>
  <w:abstractNum w:abstractNumId="7">
    <w:nsid w:val="12AA3B83"/>
    <w:multiLevelType w:val="multilevel"/>
    <w:tmpl w:val="12AA3B8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8">
    <w:nsid w:val="4D6E3167"/>
    <w:multiLevelType w:val="multilevel"/>
    <w:tmpl w:val="4D6E3167"/>
    <w:lvl w:ilvl="0" w:tentative="0">
      <w:start w:val="1"/>
      <w:numFmt w:val="decimal"/>
      <w:pStyle w:val="79"/>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9">
    <w:nsid w:val="665C217B"/>
    <w:multiLevelType w:val="multilevel"/>
    <w:tmpl w:val="665C217B"/>
    <w:lvl w:ilvl="0" w:tentative="0">
      <w:start w:val="1"/>
      <w:numFmt w:val="decimal"/>
      <w:pStyle w:val="76"/>
      <w:lvlText w:val="%1"/>
      <w:lvlJc w:val="left"/>
      <w:pPr>
        <w:ind w:left="360" w:hanging="360"/>
      </w:pPr>
      <w:rPr>
        <w:rFonts w:hint="default"/>
      </w:rPr>
    </w:lvl>
    <w:lvl w:ilvl="1" w:tentative="0">
      <w:start w:val="1"/>
      <w:numFmt w:val="decimal"/>
      <w:pStyle w:val="78"/>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abstractNum w:abstractNumId="10">
    <w:nsid w:val="67267C66"/>
    <w:multiLevelType w:val="multilevel"/>
    <w:tmpl w:val="67267C66"/>
    <w:lvl w:ilvl="0" w:tentative="0">
      <w:start w:val="1"/>
      <w:numFmt w:val="bullet"/>
      <w:lvlText w:val=""/>
      <w:lvlJc w:val="left"/>
      <w:pPr>
        <w:ind w:left="1496" w:hanging="360"/>
      </w:pPr>
      <w:rPr>
        <w:rFonts w:hint="default" w:ascii="Symbol" w:hAnsi="Symbol"/>
      </w:rPr>
    </w:lvl>
    <w:lvl w:ilvl="1" w:tentative="0">
      <w:start w:val="1"/>
      <w:numFmt w:val="bullet"/>
      <w:lvlText w:val="o"/>
      <w:lvlJc w:val="left"/>
      <w:pPr>
        <w:ind w:left="2784" w:hanging="360"/>
      </w:pPr>
      <w:rPr>
        <w:rFonts w:hint="default" w:ascii="Courier New" w:hAnsi="Courier New" w:cs="Courier New"/>
      </w:rPr>
    </w:lvl>
    <w:lvl w:ilvl="2" w:tentative="0">
      <w:start w:val="1"/>
      <w:numFmt w:val="bullet"/>
      <w:lvlText w:val=""/>
      <w:lvlJc w:val="left"/>
      <w:pPr>
        <w:ind w:left="3504" w:hanging="360"/>
      </w:pPr>
      <w:rPr>
        <w:rFonts w:hint="default" w:ascii="Wingdings" w:hAnsi="Wingdings"/>
      </w:rPr>
    </w:lvl>
    <w:lvl w:ilvl="3" w:tentative="0">
      <w:start w:val="1"/>
      <w:numFmt w:val="bullet"/>
      <w:lvlText w:val=""/>
      <w:lvlJc w:val="left"/>
      <w:pPr>
        <w:ind w:left="4224" w:hanging="360"/>
      </w:pPr>
      <w:rPr>
        <w:rFonts w:hint="default" w:ascii="Symbol" w:hAnsi="Symbol"/>
      </w:rPr>
    </w:lvl>
    <w:lvl w:ilvl="4" w:tentative="0">
      <w:start w:val="1"/>
      <w:numFmt w:val="bullet"/>
      <w:lvlText w:val="o"/>
      <w:lvlJc w:val="left"/>
      <w:pPr>
        <w:ind w:left="4944" w:hanging="360"/>
      </w:pPr>
      <w:rPr>
        <w:rFonts w:hint="default" w:ascii="Courier New" w:hAnsi="Courier New" w:cs="Courier New"/>
      </w:rPr>
    </w:lvl>
    <w:lvl w:ilvl="5" w:tentative="0">
      <w:start w:val="1"/>
      <w:numFmt w:val="bullet"/>
      <w:lvlText w:val=""/>
      <w:lvlJc w:val="left"/>
      <w:pPr>
        <w:ind w:left="5664" w:hanging="360"/>
      </w:pPr>
      <w:rPr>
        <w:rFonts w:hint="default" w:ascii="Wingdings" w:hAnsi="Wingdings"/>
      </w:rPr>
    </w:lvl>
    <w:lvl w:ilvl="6" w:tentative="0">
      <w:start w:val="1"/>
      <w:numFmt w:val="bullet"/>
      <w:lvlText w:val=""/>
      <w:lvlJc w:val="left"/>
      <w:pPr>
        <w:ind w:left="6384" w:hanging="360"/>
      </w:pPr>
      <w:rPr>
        <w:rFonts w:hint="default" w:ascii="Symbol" w:hAnsi="Symbol"/>
      </w:rPr>
    </w:lvl>
    <w:lvl w:ilvl="7" w:tentative="0">
      <w:start w:val="1"/>
      <w:numFmt w:val="bullet"/>
      <w:lvlText w:val="o"/>
      <w:lvlJc w:val="left"/>
      <w:pPr>
        <w:ind w:left="7104" w:hanging="360"/>
      </w:pPr>
      <w:rPr>
        <w:rFonts w:hint="default" w:ascii="Courier New" w:hAnsi="Courier New" w:cs="Courier New"/>
      </w:rPr>
    </w:lvl>
    <w:lvl w:ilvl="8" w:tentative="0">
      <w:start w:val="1"/>
      <w:numFmt w:val="bullet"/>
      <w:lvlText w:val=""/>
      <w:lvlJc w:val="left"/>
      <w:pPr>
        <w:ind w:left="7824" w:hanging="360"/>
      </w:pPr>
      <w:rPr>
        <w:rFonts w:hint="default" w:ascii="Wingdings" w:hAnsi="Wingdings"/>
      </w:rPr>
    </w:lvl>
  </w:abstractNum>
  <w:abstractNum w:abstractNumId="11">
    <w:nsid w:val="6D5E1313"/>
    <w:multiLevelType w:val="singleLevel"/>
    <w:tmpl w:val="6D5E1313"/>
    <w:lvl w:ilvl="0" w:tentative="0">
      <w:start w:val="1"/>
      <w:numFmt w:val="bullet"/>
      <w:lvlText w:val=""/>
      <w:lvlJc w:val="left"/>
      <w:pPr>
        <w:ind w:left="420" w:hanging="420"/>
      </w:pPr>
      <w:rPr>
        <w:rFonts w:hint="default" w:ascii="Wingdings" w:hAnsi="Wingdings"/>
      </w:rPr>
    </w:lvl>
  </w:abstractNum>
  <w:abstractNum w:abstractNumId="12">
    <w:nsid w:val="7470247A"/>
    <w:multiLevelType w:val="singleLevel"/>
    <w:tmpl w:val="7470247A"/>
    <w:lvl w:ilvl="0" w:tentative="0">
      <w:start w:val="1"/>
      <w:numFmt w:val="bullet"/>
      <w:lvlText w:val=""/>
      <w:lvlJc w:val="left"/>
      <w:pPr>
        <w:ind w:left="420" w:hanging="420"/>
      </w:pPr>
      <w:rPr>
        <w:rFonts w:hint="default" w:ascii="Wingdings" w:hAnsi="Wingdings"/>
      </w:rPr>
    </w:lvl>
  </w:abstractNum>
  <w:abstractNum w:abstractNumId="13">
    <w:nsid w:val="78A93F85"/>
    <w:multiLevelType w:val="multilevel"/>
    <w:tmpl w:val="78A93F85"/>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4">
    <w:nsid w:val="7E2D5559"/>
    <w:multiLevelType w:val="multilevel"/>
    <w:tmpl w:val="7E2D5559"/>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9"/>
  </w:num>
  <w:num w:numId="2">
    <w:abstractNumId w:val="8"/>
  </w:num>
  <w:num w:numId="3">
    <w:abstractNumId w:val="7"/>
  </w:num>
  <w:num w:numId="4">
    <w:abstractNumId w:val="13"/>
  </w:num>
  <w:num w:numId="5">
    <w:abstractNumId w:val="10"/>
  </w:num>
  <w:num w:numId="6">
    <w:abstractNumId w:val="5"/>
  </w:num>
  <w:num w:numId="7">
    <w:abstractNumId w:val="14"/>
  </w:num>
  <w:num w:numId="8">
    <w:abstractNumId w:val="3"/>
  </w:num>
  <w:num w:numId="9">
    <w:abstractNumId w:val="1"/>
  </w:num>
  <w:num w:numId="10">
    <w:abstractNumId w:val="4"/>
  </w:num>
  <w:num w:numId="11">
    <w:abstractNumId w:val="12"/>
  </w:num>
  <w:num w:numId="12">
    <w:abstractNumId w:val="6"/>
  </w:num>
  <w:num w:numId="13">
    <w:abstractNumId w:val="11"/>
  </w:num>
  <w:num w:numId="14">
    <w:abstractNumId w:val="0"/>
  </w:num>
  <w:num w:numId="1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67FF6"/>
    <w:rsid w:val="001A4C42"/>
    <w:rsid w:val="001A7420"/>
    <w:rsid w:val="001B6637"/>
    <w:rsid w:val="001C21C3"/>
    <w:rsid w:val="001D02C2"/>
    <w:rsid w:val="001F0C1D"/>
    <w:rsid w:val="001F1132"/>
    <w:rsid w:val="001F168B"/>
    <w:rsid w:val="0021140F"/>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B2A74"/>
    <w:rsid w:val="004C61CE"/>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1B7B"/>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A7AA8"/>
    <w:rsid w:val="007B600E"/>
    <w:rsid w:val="007F0F4A"/>
    <w:rsid w:val="008028A4"/>
    <w:rsid w:val="00830747"/>
    <w:rsid w:val="0083684A"/>
    <w:rsid w:val="008768CA"/>
    <w:rsid w:val="00885367"/>
    <w:rsid w:val="008A646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D1CB4"/>
    <w:rsid w:val="00AE65E2"/>
    <w:rsid w:val="00B15449"/>
    <w:rsid w:val="00B66DD7"/>
    <w:rsid w:val="00B67352"/>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24228"/>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45D78"/>
    <w:rsid w:val="00E77645"/>
    <w:rsid w:val="00E82959"/>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A4E78"/>
    <w:rsid w:val="00FC1192"/>
    <w:rsid w:val="011629BA"/>
    <w:rsid w:val="01295F0D"/>
    <w:rsid w:val="01410DC2"/>
    <w:rsid w:val="01536085"/>
    <w:rsid w:val="0158163D"/>
    <w:rsid w:val="015A322D"/>
    <w:rsid w:val="01652E48"/>
    <w:rsid w:val="018F1743"/>
    <w:rsid w:val="018F25C8"/>
    <w:rsid w:val="01906A5B"/>
    <w:rsid w:val="01907C39"/>
    <w:rsid w:val="01E70C97"/>
    <w:rsid w:val="01EA15CF"/>
    <w:rsid w:val="02402E7C"/>
    <w:rsid w:val="02505886"/>
    <w:rsid w:val="029011A2"/>
    <w:rsid w:val="02A03627"/>
    <w:rsid w:val="02DB4554"/>
    <w:rsid w:val="02EC4357"/>
    <w:rsid w:val="02EE768C"/>
    <w:rsid w:val="02FA1082"/>
    <w:rsid w:val="031778E0"/>
    <w:rsid w:val="0327096F"/>
    <w:rsid w:val="032A315A"/>
    <w:rsid w:val="03481CC2"/>
    <w:rsid w:val="034E163D"/>
    <w:rsid w:val="038346FC"/>
    <w:rsid w:val="03A3177A"/>
    <w:rsid w:val="03BF3D9F"/>
    <w:rsid w:val="03C80AD2"/>
    <w:rsid w:val="03C95263"/>
    <w:rsid w:val="03F0584F"/>
    <w:rsid w:val="03FB5627"/>
    <w:rsid w:val="04076F95"/>
    <w:rsid w:val="04242812"/>
    <w:rsid w:val="042736AF"/>
    <w:rsid w:val="04383CC9"/>
    <w:rsid w:val="04421BA4"/>
    <w:rsid w:val="044B12E0"/>
    <w:rsid w:val="046301A2"/>
    <w:rsid w:val="046A0693"/>
    <w:rsid w:val="04732FB8"/>
    <w:rsid w:val="04871DE8"/>
    <w:rsid w:val="048F6485"/>
    <w:rsid w:val="04A12403"/>
    <w:rsid w:val="04A815F7"/>
    <w:rsid w:val="04AD06A4"/>
    <w:rsid w:val="04BD1E3A"/>
    <w:rsid w:val="04E04910"/>
    <w:rsid w:val="050C7718"/>
    <w:rsid w:val="05176C7C"/>
    <w:rsid w:val="05214F03"/>
    <w:rsid w:val="055E02FB"/>
    <w:rsid w:val="056A3BE2"/>
    <w:rsid w:val="05AE2916"/>
    <w:rsid w:val="05B1379B"/>
    <w:rsid w:val="05C6466C"/>
    <w:rsid w:val="05DB67C3"/>
    <w:rsid w:val="05F02736"/>
    <w:rsid w:val="06026AB1"/>
    <w:rsid w:val="060D0D66"/>
    <w:rsid w:val="062C2061"/>
    <w:rsid w:val="06311BAC"/>
    <w:rsid w:val="067C67DB"/>
    <w:rsid w:val="068158A4"/>
    <w:rsid w:val="06C82223"/>
    <w:rsid w:val="06E73497"/>
    <w:rsid w:val="07007517"/>
    <w:rsid w:val="07073FA3"/>
    <w:rsid w:val="07262AE1"/>
    <w:rsid w:val="072F7FC6"/>
    <w:rsid w:val="0732584E"/>
    <w:rsid w:val="075A7EF6"/>
    <w:rsid w:val="076202A2"/>
    <w:rsid w:val="076A2A73"/>
    <w:rsid w:val="07754CC8"/>
    <w:rsid w:val="07AE506C"/>
    <w:rsid w:val="07BC23FD"/>
    <w:rsid w:val="07C22AAD"/>
    <w:rsid w:val="07C3764D"/>
    <w:rsid w:val="07F66AC5"/>
    <w:rsid w:val="0833764C"/>
    <w:rsid w:val="084677D5"/>
    <w:rsid w:val="0848005E"/>
    <w:rsid w:val="084B1A9E"/>
    <w:rsid w:val="084C657D"/>
    <w:rsid w:val="084D12F0"/>
    <w:rsid w:val="087029A6"/>
    <w:rsid w:val="087B6B61"/>
    <w:rsid w:val="087E40F9"/>
    <w:rsid w:val="08916AA8"/>
    <w:rsid w:val="089F664F"/>
    <w:rsid w:val="08A203F3"/>
    <w:rsid w:val="08AF00C1"/>
    <w:rsid w:val="08B531C0"/>
    <w:rsid w:val="08BB1078"/>
    <w:rsid w:val="08BD1F16"/>
    <w:rsid w:val="08CD401D"/>
    <w:rsid w:val="08D53034"/>
    <w:rsid w:val="08DA28B3"/>
    <w:rsid w:val="08DD2BEF"/>
    <w:rsid w:val="0903652D"/>
    <w:rsid w:val="090556C6"/>
    <w:rsid w:val="09104DCD"/>
    <w:rsid w:val="09335E2F"/>
    <w:rsid w:val="094C40B4"/>
    <w:rsid w:val="09606948"/>
    <w:rsid w:val="096E0D4F"/>
    <w:rsid w:val="09736AE0"/>
    <w:rsid w:val="09E30E5D"/>
    <w:rsid w:val="09F331B4"/>
    <w:rsid w:val="0A1364A3"/>
    <w:rsid w:val="0A143BE1"/>
    <w:rsid w:val="0A286DFB"/>
    <w:rsid w:val="0A5164D1"/>
    <w:rsid w:val="0A6C43DE"/>
    <w:rsid w:val="0ABC02E8"/>
    <w:rsid w:val="0AC16484"/>
    <w:rsid w:val="0ACB2015"/>
    <w:rsid w:val="0AD20D5E"/>
    <w:rsid w:val="0AD555AC"/>
    <w:rsid w:val="0AED24FC"/>
    <w:rsid w:val="0B0444E5"/>
    <w:rsid w:val="0B0F4A80"/>
    <w:rsid w:val="0B1B1997"/>
    <w:rsid w:val="0B24532C"/>
    <w:rsid w:val="0B3F6621"/>
    <w:rsid w:val="0B4D2A88"/>
    <w:rsid w:val="0B527B25"/>
    <w:rsid w:val="0B5E0983"/>
    <w:rsid w:val="0B6A4840"/>
    <w:rsid w:val="0B707256"/>
    <w:rsid w:val="0B7129F9"/>
    <w:rsid w:val="0B744B6D"/>
    <w:rsid w:val="0B7E60C9"/>
    <w:rsid w:val="0B8730CC"/>
    <w:rsid w:val="0B927AF3"/>
    <w:rsid w:val="0BA069F6"/>
    <w:rsid w:val="0BB6397D"/>
    <w:rsid w:val="0BE05B3D"/>
    <w:rsid w:val="0BEF4F2C"/>
    <w:rsid w:val="0BF03462"/>
    <w:rsid w:val="0BF56721"/>
    <w:rsid w:val="0C226DB2"/>
    <w:rsid w:val="0C5161F8"/>
    <w:rsid w:val="0C52360D"/>
    <w:rsid w:val="0C721B20"/>
    <w:rsid w:val="0C7C1976"/>
    <w:rsid w:val="0CAC6DE2"/>
    <w:rsid w:val="0CBA5E3E"/>
    <w:rsid w:val="0CCB3B11"/>
    <w:rsid w:val="0CDE55BC"/>
    <w:rsid w:val="0CDF3914"/>
    <w:rsid w:val="0CEA2CF7"/>
    <w:rsid w:val="0D035130"/>
    <w:rsid w:val="0D225E27"/>
    <w:rsid w:val="0D23336E"/>
    <w:rsid w:val="0D284B82"/>
    <w:rsid w:val="0D3A5239"/>
    <w:rsid w:val="0D3A7039"/>
    <w:rsid w:val="0D4356A8"/>
    <w:rsid w:val="0D8735F9"/>
    <w:rsid w:val="0D8972A3"/>
    <w:rsid w:val="0D94436C"/>
    <w:rsid w:val="0D980C13"/>
    <w:rsid w:val="0DB607B8"/>
    <w:rsid w:val="0DC22600"/>
    <w:rsid w:val="0DC51AC4"/>
    <w:rsid w:val="0DC63EF2"/>
    <w:rsid w:val="0DD75C5E"/>
    <w:rsid w:val="0DD9749D"/>
    <w:rsid w:val="0DE9579A"/>
    <w:rsid w:val="0DFA693B"/>
    <w:rsid w:val="0DFF4B13"/>
    <w:rsid w:val="0E093416"/>
    <w:rsid w:val="0E402695"/>
    <w:rsid w:val="0E6B4543"/>
    <w:rsid w:val="0E777792"/>
    <w:rsid w:val="0E7B1FCA"/>
    <w:rsid w:val="0E880E39"/>
    <w:rsid w:val="0E9D025B"/>
    <w:rsid w:val="0EA8225F"/>
    <w:rsid w:val="0ED01837"/>
    <w:rsid w:val="0ED33A29"/>
    <w:rsid w:val="0EF97174"/>
    <w:rsid w:val="0F0F3D45"/>
    <w:rsid w:val="0F2550AA"/>
    <w:rsid w:val="0F3A116B"/>
    <w:rsid w:val="0F48005B"/>
    <w:rsid w:val="0F511411"/>
    <w:rsid w:val="0F703346"/>
    <w:rsid w:val="0F80004E"/>
    <w:rsid w:val="0F871EAB"/>
    <w:rsid w:val="0F9F1528"/>
    <w:rsid w:val="0FDF5A14"/>
    <w:rsid w:val="1008703A"/>
    <w:rsid w:val="10126FBC"/>
    <w:rsid w:val="103809FF"/>
    <w:rsid w:val="103B4DE8"/>
    <w:rsid w:val="10764104"/>
    <w:rsid w:val="10816F43"/>
    <w:rsid w:val="1096068D"/>
    <w:rsid w:val="10B951CF"/>
    <w:rsid w:val="10BB3068"/>
    <w:rsid w:val="10D82C05"/>
    <w:rsid w:val="110E3EB6"/>
    <w:rsid w:val="11131D94"/>
    <w:rsid w:val="111778A8"/>
    <w:rsid w:val="111E4B32"/>
    <w:rsid w:val="1124277B"/>
    <w:rsid w:val="112A1125"/>
    <w:rsid w:val="11454527"/>
    <w:rsid w:val="11617971"/>
    <w:rsid w:val="11622F64"/>
    <w:rsid w:val="116F4939"/>
    <w:rsid w:val="11846297"/>
    <w:rsid w:val="118660F9"/>
    <w:rsid w:val="11AD4D58"/>
    <w:rsid w:val="11B67206"/>
    <w:rsid w:val="11BA4661"/>
    <w:rsid w:val="11BA6A1A"/>
    <w:rsid w:val="11C70182"/>
    <w:rsid w:val="11E411C4"/>
    <w:rsid w:val="11E43DA7"/>
    <w:rsid w:val="11EE75FC"/>
    <w:rsid w:val="11FA2349"/>
    <w:rsid w:val="12044AB3"/>
    <w:rsid w:val="12342A01"/>
    <w:rsid w:val="12533BE9"/>
    <w:rsid w:val="126548EE"/>
    <w:rsid w:val="12817181"/>
    <w:rsid w:val="129E41E5"/>
    <w:rsid w:val="12AA4BE9"/>
    <w:rsid w:val="12C003F7"/>
    <w:rsid w:val="12C7679B"/>
    <w:rsid w:val="12DD774D"/>
    <w:rsid w:val="12E20B88"/>
    <w:rsid w:val="133E4EC4"/>
    <w:rsid w:val="136404F3"/>
    <w:rsid w:val="137E2663"/>
    <w:rsid w:val="13B61E8E"/>
    <w:rsid w:val="13C23A1B"/>
    <w:rsid w:val="13C72FD3"/>
    <w:rsid w:val="13C76244"/>
    <w:rsid w:val="13CF28FB"/>
    <w:rsid w:val="13DA7C15"/>
    <w:rsid w:val="13E905BF"/>
    <w:rsid w:val="13EA5E5F"/>
    <w:rsid w:val="140F27D6"/>
    <w:rsid w:val="14107AE9"/>
    <w:rsid w:val="14175E0A"/>
    <w:rsid w:val="141F1BA5"/>
    <w:rsid w:val="14254028"/>
    <w:rsid w:val="142A2204"/>
    <w:rsid w:val="1472255F"/>
    <w:rsid w:val="14782396"/>
    <w:rsid w:val="148942E3"/>
    <w:rsid w:val="148B031E"/>
    <w:rsid w:val="1492597B"/>
    <w:rsid w:val="14AC25B0"/>
    <w:rsid w:val="14AE0BED"/>
    <w:rsid w:val="14AF303C"/>
    <w:rsid w:val="14BE55AD"/>
    <w:rsid w:val="14C355CD"/>
    <w:rsid w:val="14E52CFF"/>
    <w:rsid w:val="1502113A"/>
    <w:rsid w:val="151308D4"/>
    <w:rsid w:val="1525202B"/>
    <w:rsid w:val="15281376"/>
    <w:rsid w:val="15422545"/>
    <w:rsid w:val="156508EF"/>
    <w:rsid w:val="15693006"/>
    <w:rsid w:val="15716A99"/>
    <w:rsid w:val="157177C3"/>
    <w:rsid w:val="1581047E"/>
    <w:rsid w:val="15895642"/>
    <w:rsid w:val="15A444EB"/>
    <w:rsid w:val="15B0540D"/>
    <w:rsid w:val="15B10740"/>
    <w:rsid w:val="15B47AB3"/>
    <w:rsid w:val="15B7532E"/>
    <w:rsid w:val="15C84147"/>
    <w:rsid w:val="15CA017F"/>
    <w:rsid w:val="15D71AD5"/>
    <w:rsid w:val="15DC38C2"/>
    <w:rsid w:val="15F23B4A"/>
    <w:rsid w:val="15FC08F6"/>
    <w:rsid w:val="16050CCE"/>
    <w:rsid w:val="1646133C"/>
    <w:rsid w:val="165931D9"/>
    <w:rsid w:val="16682D3E"/>
    <w:rsid w:val="167046E9"/>
    <w:rsid w:val="167E382D"/>
    <w:rsid w:val="16DC0535"/>
    <w:rsid w:val="16EF74E9"/>
    <w:rsid w:val="170716B6"/>
    <w:rsid w:val="173D4671"/>
    <w:rsid w:val="1748083E"/>
    <w:rsid w:val="17553F9F"/>
    <w:rsid w:val="175623CE"/>
    <w:rsid w:val="176538DA"/>
    <w:rsid w:val="1794775D"/>
    <w:rsid w:val="17C376AD"/>
    <w:rsid w:val="17CB4905"/>
    <w:rsid w:val="17D01F3A"/>
    <w:rsid w:val="17DC7DAF"/>
    <w:rsid w:val="17DF40F7"/>
    <w:rsid w:val="17F01ECF"/>
    <w:rsid w:val="180E4FC5"/>
    <w:rsid w:val="18171331"/>
    <w:rsid w:val="18396192"/>
    <w:rsid w:val="184A4BE3"/>
    <w:rsid w:val="185060EC"/>
    <w:rsid w:val="185A42FA"/>
    <w:rsid w:val="18870C54"/>
    <w:rsid w:val="189D2207"/>
    <w:rsid w:val="18A45C40"/>
    <w:rsid w:val="18D57338"/>
    <w:rsid w:val="18E96032"/>
    <w:rsid w:val="18EE62E8"/>
    <w:rsid w:val="18F96461"/>
    <w:rsid w:val="19116F8E"/>
    <w:rsid w:val="1914310D"/>
    <w:rsid w:val="19551A74"/>
    <w:rsid w:val="195F7D63"/>
    <w:rsid w:val="197C2433"/>
    <w:rsid w:val="19933139"/>
    <w:rsid w:val="19AC4F46"/>
    <w:rsid w:val="19D57461"/>
    <w:rsid w:val="19E74602"/>
    <w:rsid w:val="19EE7D0B"/>
    <w:rsid w:val="1A077D86"/>
    <w:rsid w:val="1A085685"/>
    <w:rsid w:val="1A191F3E"/>
    <w:rsid w:val="1A5163D6"/>
    <w:rsid w:val="1A54768F"/>
    <w:rsid w:val="1A5A669E"/>
    <w:rsid w:val="1A6A5CDF"/>
    <w:rsid w:val="1A796C32"/>
    <w:rsid w:val="1AB9028C"/>
    <w:rsid w:val="1AC56317"/>
    <w:rsid w:val="1AD6319E"/>
    <w:rsid w:val="1B4B651F"/>
    <w:rsid w:val="1B777BC9"/>
    <w:rsid w:val="1B7D10D5"/>
    <w:rsid w:val="1B8D6B92"/>
    <w:rsid w:val="1B936CD6"/>
    <w:rsid w:val="1B990279"/>
    <w:rsid w:val="1B9B4E1C"/>
    <w:rsid w:val="1B9C50E9"/>
    <w:rsid w:val="1BA04CC7"/>
    <w:rsid w:val="1BAA5FDD"/>
    <w:rsid w:val="1BAD4429"/>
    <w:rsid w:val="1BB80557"/>
    <w:rsid w:val="1BBC1606"/>
    <w:rsid w:val="1BD91A80"/>
    <w:rsid w:val="1BE641ED"/>
    <w:rsid w:val="1BEE30A8"/>
    <w:rsid w:val="1BF24F3D"/>
    <w:rsid w:val="1BFD5FA2"/>
    <w:rsid w:val="1C1D36F1"/>
    <w:rsid w:val="1C291BAA"/>
    <w:rsid w:val="1C386892"/>
    <w:rsid w:val="1C4A2683"/>
    <w:rsid w:val="1C5F292D"/>
    <w:rsid w:val="1C5F3B2B"/>
    <w:rsid w:val="1C631E26"/>
    <w:rsid w:val="1C7530BF"/>
    <w:rsid w:val="1C916922"/>
    <w:rsid w:val="1CBC5611"/>
    <w:rsid w:val="1CD22EF6"/>
    <w:rsid w:val="1CD7177C"/>
    <w:rsid w:val="1CF005FD"/>
    <w:rsid w:val="1CF6531E"/>
    <w:rsid w:val="1CF73467"/>
    <w:rsid w:val="1D0B195E"/>
    <w:rsid w:val="1D243745"/>
    <w:rsid w:val="1D3570D5"/>
    <w:rsid w:val="1D4E0EB2"/>
    <w:rsid w:val="1D693FA7"/>
    <w:rsid w:val="1D8F4E65"/>
    <w:rsid w:val="1DB553DF"/>
    <w:rsid w:val="1DBF1882"/>
    <w:rsid w:val="1DC70ACB"/>
    <w:rsid w:val="1DF17BE1"/>
    <w:rsid w:val="1DFC1393"/>
    <w:rsid w:val="1E4719A3"/>
    <w:rsid w:val="1E5F1F97"/>
    <w:rsid w:val="1E6C5F4E"/>
    <w:rsid w:val="1E9D4347"/>
    <w:rsid w:val="1EA65561"/>
    <w:rsid w:val="1EAD4127"/>
    <w:rsid w:val="1EB41D2D"/>
    <w:rsid w:val="1EB70BD9"/>
    <w:rsid w:val="1EB8797A"/>
    <w:rsid w:val="1EDA6C33"/>
    <w:rsid w:val="1EEC719E"/>
    <w:rsid w:val="1EF7018A"/>
    <w:rsid w:val="1F0242AA"/>
    <w:rsid w:val="1F044236"/>
    <w:rsid w:val="1F25251D"/>
    <w:rsid w:val="1F2B5438"/>
    <w:rsid w:val="1F377BCE"/>
    <w:rsid w:val="1F390590"/>
    <w:rsid w:val="1F424A01"/>
    <w:rsid w:val="1F4C6748"/>
    <w:rsid w:val="1F595467"/>
    <w:rsid w:val="1F5B2F4F"/>
    <w:rsid w:val="1F5C06A1"/>
    <w:rsid w:val="1FB80942"/>
    <w:rsid w:val="1FBB5482"/>
    <w:rsid w:val="2001262E"/>
    <w:rsid w:val="200D64BE"/>
    <w:rsid w:val="20153599"/>
    <w:rsid w:val="201B2789"/>
    <w:rsid w:val="20256516"/>
    <w:rsid w:val="20584BED"/>
    <w:rsid w:val="20D60AAE"/>
    <w:rsid w:val="20FE18CB"/>
    <w:rsid w:val="21061BA2"/>
    <w:rsid w:val="2121427E"/>
    <w:rsid w:val="21262CBA"/>
    <w:rsid w:val="212B1C97"/>
    <w:rsid w:val="21361FB5"/>
    <w:rsid w:val="214B3D89"/>
    <w:rsid w:val="21575426"/>
    <w:rsid w:val="215C1F77"/>
    <w:rsid w:val="2177769E"/>
    <w:rsid w:val="21D25FF2"/>
    <w:rsid w:val="21F70210"/>
    <w:rsid w:val="22344A9E"/>
    <w:rsid w:val="22363269"/>
    <w:rsid w:val="223C2DAF"/>
    <w:rsid w:val="223E2651"/>
    <w:rsid w:val="2248503C"/>
    <w:rsid w:val="224E39C0"/>
    <w:rsid w:val="22616311"/>
    <w:rsid w:val="226575C4"/>
    <w:rsid w:val="22682C5C"/>
    <w:rsid w:val="226D3EEA"/>
    <w:rsid w:val="226E077B"/>
    <w:rsid w:val="2291610E"/>
    <w:rsid w:val="22923DE9"/>
    <w:rsid w:val="22973417"/>
    <w:rsid w:val="229D5794"/>
    <w:rsid w:val="22C17DB5"/>
    <w:rsid w:val="22C629AC"/>
    <w:rsid w:val="22DD27AA"/>
    <w:rsid w:val="22E96F92"/>
    <w:rsid w:val="23060CEA"/>
    <w:rsid w:val="230D3451"/>
    <w:rsid w:val="230E5678"/>
    <w:rsid w:val="23257653"/>
    <w:rsid w:val="23441FFA"/>
    <w:rsid w:val="234B3276"/>
    <w:rsid w:val="23773623"/>
    <w:rsid w:val="2377693D"/>
    <w:rsid w:val="239F724D"/>
    <w:rsid w:val="23AB1721"/>
    <w:rsid w:val="23EF0BE1"/>
    <w:rsid w:val="24002E5E"/>
    <w:rsid w:val="245A6743"/>
    <w:rsid w:val="246A08B9"/>
    <w:rsid w:val="24754B15"/>
    <w:rsid w:val="247F64CC"/>
    <w:rsid w:val="248D420D"/>
    <w:rsid w:val="24921B27"/>
    <w:rsid w:val="249E776E"/>
    <w:rsid w:val="24A0121D"/>
    <w:rsid w:val="24B97631"/>
    <w:rsid w:val="24C90419"/>
    <w:rsid w:val="24E32289"/>
    <w:rsid w:val="24ED1C1E"/>
    <w:rsid w:val="24F0284D"/>
    <w:rsid w:val="250E20E4"/>
    <w:rsid w:val="25120691"/>
    <w:rsid w:val="25202C91"/>
    <w:rsid w:val="252331A5"/>
    <w:rsid w:val="252733A0"/>
    <w:rsid w:val="25425A19"/>
    <w:rsid w:val="25490B3E"/>
    <w:rsid w:val="256F1A53"/>
    <w:rsid w:val="258B2F2B"/>
    <w:rsid w:val="258B31A0"/>
    <w:rsid w:val="25AB3D1C"/>
    <w:rsid w:val="25D90A1B"/>
    <w:rsid w:val="25E22192"/>
    <w:rsid w:val="25F332FF"/>
    <w:rsid w:val="25FE37D6"/>
    <w:rsid w:val="260D72CA"/>
    <w:rsid w:val="26274BB6"/>
    <w:rsid w:val="26356536"/>
    <w:rsid w:val="268B243A"/>
    <w:rsid w:val="269C627F"/>
    <w:rsid w:val="26AA20D3"/>
    <w:rsid w:val="26B43DCE"/>
    <w:rsid w:val="26C705B0"/>
    <w:rsid w:val="26DD3B73"/>
    <w:rsid w:val="26E576C7"/>
    <w:rsid w:val="26F04260"/>
    <w:rsid w:val="26F81EB4"/>
    <w:rsid w:val="26FB2F1B"/>
    <w:rsid w:val="27310B9A"/>
    <w:rsid w:val="273E1C11"/>
    <w:rsid w:val="27511867"/>
    <w:rsid w:val="275265C3"/>
    <w:rsid w:val="276B112C"/>
    <w:rsid w:val="27815619"/>
    <w:rsid w:val="279E2679"/>
    <w:rsid w:val="279F554C"/>
    <w:rsid w:val="27D65541"/>
    <w:rsid w:val="27EC5FCE"/>
    <w:rsid w:val="286651CF"/>
    <w:rsid w:val="28671C46"/>
    <w:rsid w:val="2897657D"/>
    <w:rsid w:val="28AB19F4"/>
    <w:rsid w:val="28D71E0B"/>
    <w:rsid w:val="28DC39BE"/>
    <w:rsid w:val="28DD5BCB"/>
    <w:rsid w:val="28E01F8A"/>
    <w:rsid w:val="28F045AC"/>
    <w:rsid w:val="291D583E"/>
    <w:rsid w:val="29602BC4"/>
    <w:rsid w:val="299760C7"/>
    <w:rsid w:val="2999350D"/>
    <w:rsid w:val="299E7E78"/>
    <w:rsid w:val="29B759BC"/>
    <w:rsid w:val="29D60A95"/>
    <w:rsid w:val="29D94FA1"/>
    <w:rsid w:val="29E31604"/>
    <w:rsid w:val="29F87E04"/>
    <w:rsid w:val="2A1A7BC7"/>
    <w:rsid w:val="2A2D73EC"/>
    <w:rsid w:val="2A2E4CEB"/>
    <w:rsid w:val="2A3B565F"/>
    <w:rsid w:val="2A653259"/>
    <w:rsid w:val="2A8F4841"/>
    <w:rsid w:val="2AA369DD"/>
    <w:rsid w:val="2AAF4F9A"/>
    <w:rsid w:val="2AD06022"/>
    <w:rsid w:val="2AD63975"/>
    <w:rsid w:val="2ADD1B0D"/>
    <w:rsid w:val="2ADF2DC8"/>
    <w:rsid w:val="2AE64773"/>
    <w:rsid w:val="2AEC47FC"/>
    <w:rsid w:val="2AF1331E"/>
    <w:rsid w:val="2AF81BE3"/>
    <w:rsid w:val="2AF926C9"/>
    <w:rsid w:val="2AFA02A2"/>
    <w:rsid w:val="2AFF23A5"/>
    <w:rsid w:val="2B361003"/>
    <w:rsid w:val="2B3762A6"/>
    <w:rsid w:val="2B3C6641"/>
    <w:rsid w:val="2B5B0F6E"/>
    <w:rsid w:val="2B925FDF"/>
    <w:rsid w:val="2B9970F1"/>
    <w:rsid w:val="2BB65D1D"/>
    <w:rsid w:val="2BE501C7"/>
    <w:rsid w:val="2BED2E55"/>
    <w:rsid w:val="2C1738CF"/>
    <w:rsid w:val="2C1945D8"/>
    <w:rsid w:val="2C6C7918"/>
    <w:rsid w:val="2C783906"/>
    <w:rsid w:val="2CA57E78"/>
    <w:rsid w:val="2CB5787B"/>
    <w:rsid w:val="2CBF13A5"/>
    <w:rsid w:val="2CCA4381"/>
    <w:rsid w:val="2CD30F03"/>
    <w:rsid w:val="2CF249BE"/>
    <w:rsid w:val="2CFC1554"/>
    <w:rsid w:val="2CFF3512"/>
    <w:rsid w:val="2D0B7148"/>
    <w:rsid w:val="2D17770B"/>
    <w:rsid w:val="2D354DCA"/>
    <w:rsid w:val="2D6E6943"/>
    <w:rsid w:val="2D7E4AF7"/>
    <w:rsid w:val="2D8519AC"/>
    <w:rsid w:val="2D87777E"/>
    <w:rsid w:val="2D8E349F"/>
    <w:rsid w:val="2D9469E6"/>
    <w:rsid w:val="2D9D7A77"/>
    <w:rsid w:val="2DAF78FF"/>
    <w:rsid w:val="2DD93F77"/>
    <w:rsid w:val="2DDE7A41"/>
    <w:rsid w:val="2DEF20F0"/>
    <w:rsid w:val="2E035A56"/>
    <w:rsid w:val="2E041306"/>
    <w:rsid w:val="2E0745C9"/>
    <w:rsid w:val="2E106E4C"/>
    <w:rsid w:val="2E422716"/>
    <w:rsid w:val="2E4C211D"/>
    <w:rsid w:val="2E4D7F49"/>
    <w:rsid w:val="2E4E05E7"/>
    <w:rsid w:val="2E4E1129"/>
    <w:rsid w:val="2E5B5EA2"/>
    <w:rsid w:val="2E6446EB"/>
    <w:rsid w:val="2E7F0E61"/>
    <w:rsid w:val="2E7F686F"/>
    <w:rsid w:val="2E870765"/>
    <w:rsid w:val="2E8D0791"/>
    <w:rsid w:val="2E9B39A1"/>
    <w:rsid w:val="2EF46E83"/>
    <w:rsid w:val="2F047EE8"/>
    <w:rsid w:val="2F085C75"/>
    <w:rsid w:val="2F116436"/>
    <w:rsid w:val="2F2B12A9"/>
    <w:rsid w:val="2F3440DE"/>
    <w:rsid w:val="2F626907"/>
    <w:rsid w:val="2F956224"/>
    <w:rsid w:val="2FA00F7A"/>
    <w:rsid w:val="2FA23A7C"/>
    <w:rsid w:val="2FA30525"/>
    <w:rsid w:val="2FB449B9"/>
    <w:rsid w:val="2FC73BC7"/>
    <w:rsid w:val="2FD33F66"/>
    <w:rsid w:val="2FD408E0"/>
    <w:rsid w:val="2FE311E4"/>
    <w:rsid w:val="2FF608DC"/>
    <w:rsid w:val="2FFD3FAC"/>
    <w:rsid w:val="3004586C"/>
    <w:rsid w:val="30160ACC"/>
    <w:rsid w:val="3045081F"/>
    <w:rsid w:val="306825DD"/>
    <w:rsid w:val="30834BF9"/>
    <w:rsid w:val="30944718"/>
    <w:rsid w:val="30C01078"/>
    <w:rsid w:val="30CF0FD9"/>
    <w:rsid w:val="30F34FAE"/>
    <w:rsid w:val="31325585"/>
    <w:rsid w:val="3133127A"/>
    <w:rsid w:val="31353CD7"/>
    <w:rsid w:val="313E4128"/>
    <w:rsid w:val="313E620E"/>
    <w:rsid w:val="313E6CDE"/>
    <w:rsid w:val="31727F68"/>
    <w:rsid w:val="317662E9"/>
    <w:rsid w:val="31954796"/>
    <w:rsid w:val="31962DAE"/>
    <w:rsid w:val="319F0073"/>
    <w:rsid w:val="31B56BB4"/>
    <w:rsid w:val="31B9498A"/>
    <w:rsid w:val="32044DED"/>
    <w:rsid w:val="320C562E"/>
    <w:rsid w:val="32462A55"/>
    <w:rsid w:val="324B22D2"/>
    <w:rsid w:val="32575E9A"/>
    <w:rsid w:val="325C3AF5"/>
    <w:rsid w:val="327A0FE8"/>
    <w:rsid w:val="32931C47"/>
    <w:rsid w:val="329F684F"/>
    <w:rsid w:val="32B26B6D"/>
    <w:rsid w:val="32C30926"/>
    <w:rsid w:val="32C92CF9"/>
    <w:rsid w:val="32F96ACA"/>
    <w:rsid w:val="330258B3"/>
    <w:rsid w:val="33054642"/>
    <w:rsid w:val="33106E3B"/>
    <w:rsid w:val="333E4968"/>
    <w:rsid w:val="337E28B4"/>
    <w:rsid w:val="338F27B5"/>
    <w:rsid w:val="33951969"/>
    <w:rsid w:val="339B5E01"/>
    <w:rsid w:val="33A31D7A"/>
    <w:rsid w:val="33D163EF"/>
    <w:rsid w:val="33D45DFD"/>
    <w:rsid w:val="33E605A3"/>
    <w:rsid w:val="33E706E6"/>
    <w:rsid w:val="33F14703"/>
    <w:rsid w:val="33F7797D"/>
    <w:rsid w:val="3406027F"/>
    <w:rsid w:val="34497B40"/>
    <w:rsid w:val="345B2367"/>
    <w:rsid w:val="34812D29"/>
    <w:rsid w:val="348B5095"/>
    <w:rsid w:val="349C31F7"/>
    <w:rsid w:val="34A54544"/>
    <w:rsid w:val="34AE0539"/>
    <w:rsid w:val="34BD4F1E"/>
    <w:rsid w:val="34CD5068"/>
    <w:rsid w:val="34CE2B5B"/>
    <w:rsid w:val="34E944F6"/>
    <w:rsid w:val="34E94AA0"/>
    <w:rsid w:val="35072EAD"/>
    <w:rsid w:val="350960B1"/>
    <w:rsid w:val="35150114"/>
    <w:rsid w:val="35217336"/>
    <w:rsid w:val="35290A77"/>
    <w:rsid w:val="352A0B4B"/>
    <w:rsid w:val="35356F10"/>
    <w:rsid w:val="354840CB"/>
    <w:rsid w:val="35520D37"/>
    <w:rsid w:val="355C013C"/>
    <w:rsid w:val="3565420B"/>
    <w:rsid w:val="356A601B"/>
    <w:rsid w:val="3583595D"/>
    <w:rsid w:val="35841013"/>
    <w:rsid w:val="358B79C9"/>
    <w:rsid w:val="358C5CCB"/>
    <w:rsid w:val="359A00B9"/>
    <w:rsid w:val="35C73445"/>
    <w:rsid w:val="35F853BB"/>
    <w:rsid w:val="35FB1676"/>
    <w:rsid w:val="36133D69"/>
    <w:rsid w:val="361526DE"/>
    <w:rsid w:val="36225127"/>
    <w:rsid w:val="36237E20"/>
    <w:rsid w:val="36286678"/>
    <w:rsid w:val="363803C7"/>
    <w:rsid w:val="367620D2"/>
    <w:rsid w:val="3689139F"/>
    <w:rsid w:val="369608CE"/>
    <w:rsid w:val="369B0A76"/>
    <w:rsid w:val="369B2954"/>
    <w:rsid w:val="36C1037B"/>
    <w:rsid w:val="36D067A6"/>
    <w:rsid w:val="37070D11"/>
    <w:rsid w:val="370C03C2"/>
    <w:rsid w:val="37201F64"/>
    <w:rsid w:val="373F53DD"/>
    <w:rsid w:val="375948AC"/>
    <w:rsid w:val="376B28D6"/>
    <w:rsid w:val="376C5D00"/>
    <w:rsid w:val="376E276D"/>
    <w:rsid w:val="37872023"/>
    <w:rsid w:val="37A04E93"/>
    <w:rsid w:val="37AA4F18"/>
    <w:rsid w:val="37EA0A17"/>
    <w:rsid w:val="37F510CB"/>
    <w:rsid w:val="380A7603"/>
    <w:rsid w:val="380B0BB2"/>
    <w:rsid w:val="380D32F1"/>
    <w:rsid w:val="380D5D0D"/>
    <w:rsid w:val="3825549B"/>
    <w:rsid w:val="382F2C1E"/>
    <w:rsid w:val="384D78BB"/>
    <w:rsid w:val="38716CD9"/>
    <w:rsid w:val="38801C6C"/>
    <w:rsid w:val="38851608"/>
    <w:rsid w:val="38A45712"/>
    <w:rsid w:val="38A47DD9"/>
    <w:rsid w:val="38B04451"/>
    <w:rsid w:val="38C9778C"/>
    <w:rsid w:val="38CC35B4"/>
    <w:rsid w:val="38D10166"/>
    <w:rsid w:val="39005416"/>
    <w:rsid w:val="39207FD2"/>
    <w:rsid w:val="392A38E3"/>
    <w:rsid w:val="3933207C"/>
    <w:rsid w:val="394B37F2"/>
    <w:rsid w:val="39532C2F"/>
    <w:rsid w:val="39985F30"/>
    <w:rsid w:val="39D3500A"/>
    <w:rsid w:val="39D96419"/>
    <w:rsid w:val="39E55169"/>
    <w:rsid w:val="39E84553"/>
    <w:rsid w:val="39E861B5"/>
    <w:rsid w:val="39F4018B"/>
    <w:rsid w:val="39F72E22"/>
    <w:rsid w:val="3A094E52"/>
    <w:rsid w:val="3A174971"/>
    <w:rsid w:val="3A233308"/>
    <w:rsid w:val="3A273045"/>
    <w:rsid w:val="3A3E4729"/>
    <w:rsid w:val="3A675D63"/>
    <w:rsid w:val="3A9F7948"/>
    <w:rsid w:val="3AA02CE4"/>
    <w:rsid w:val="3AA628ED"/>
    <w:rsid w:val="3AAC6356"/>
    <w:rsid w:val="3AB23C38"/>
    <w:rsid w:val="3ABA4B72"/>
    <w:rsid w:val="3AC76FD5"/>
    <w:rsid w:val="3ACE1617"/>
    <w:rsid w:val="3AD31906"/>
    <w:rsid w:val="3AD969F8"/>
    <w:rsid w:val="3AFD1BC4"/>
    <w:rsid w:val="3B4C622A"/>
    <w:rsid w:val="3B6A7A40"/>
    <w:rsid w:val="3B7F36AC"/>
    <w:rsid w:val="3B822235"/>
    <w:rsid w:val="3B861D2E"/>
    <w:rsid w:val="3BC25680"/>
    <w:rsid w:val="3BD653F5"/>
    <w:rsid w:val="3BE16ECF"/>
    <w:rsid w:val="3C211965"/>
    <w:rsid w:val="3C365282"/>
    <w:rsid w:val="3C4B0ED5"/>
    <w:rsid w:val="3CA91418"/>
    <w:rsid w:val="3CB064E9"/>
    <w:rsid w:val="3CBC1B56"/>
    <w:rsid w:val="3CBD75BF"/>
    <w:rsid w:val="3CC33BCC"/>
    <w:rsid w:val="3CD15DA5"/>
    <w:rsid w:val="3CD641A1"/>
    <w:rsid w:val="3CD71CB8"/>
    <w:rsid w:val="3CE2490A"/>
    <w:rsid w:val="3CEA648A"/>
    <w:rsid w:val="3CF036C8"/>
    <w:rsid w:val="3D0772FE"/>
    <w:rsid w:val="3D0E3159"/>
    <w:rsid w:val="3D1502D9"/>
    <w:rsid w:val="3D555673"/>
    <w:rsid w:val="3D5657CC"/>
    <w:rsid w:val="3D5D2E26"/>
    <w:rsid w:val="3D876DDA"/>
    <w:rsid w:val="3D8E5ECA"/>
    <w:rsid w:val="3D902DB0"/>
    <w:rsid w:val="3DB21166"/>
    <w:rsid w:val="3DB52FFB"/>
    <w:rsid w:val="3DB932B8"/>
    <w:rsid w:val="3DDF3C84"/>
    <w:rsid w:val="3DF55B8D"/>
    <w:rsid w:val="3DF740D2"/>
    <w:rsid w:val="3E2942BE"/>
    <w:rsid w:val="3E300439"/>
    <w:rsid w:val="3E320B89"/>
    <w:rsid w:val="3E3906BC"/>
    <w:rsid w:val="3E5111EB"/>
    <w:rsid w:val="3E5648B2"/>
    <w:rsid w:val="3E593782"/>
    <w:rsid w:val="3E684241"/>
    <w:rsid w:val="3E75521D"/>
    <w:rsid w:val="3E83245B"/>
    <w:rsid w:val="3E8412E9"/>
    <w:rsid w:val="3E8F10CC"/>
    <w:rsid w:val="3E9328AF"/>
    <w:rsid w:val="3EB1094A"/>
    <w:rsid w:val="3EBC27E6"/>
    <w:rsid w:val="3EDA559F"/>
    <w:rsid w:val="3EDC10D0"/>
    <w:rsid w:val="3EE10368"/>
    <w:rsid w:val="3EF13BC7"/>
    <w:rsid w:val="3EF53D00"/>
    <w:rsid w:val="3EFE4E31"/>
    <w:rsid w:val="3F0C4369"/>
    <w:rsid w:val="3F2F53AA"/>
    <w:rsid w:val="3F5D2E4D"/>
    <w:rsid w:val="3F5F1F5C"/>
    <w:rsid w:val="3F6A5EE0"/>
    <w:rsid w:val="3F8A14CB"/>
    <w:rsid w:val="3F9E0865"/>
    <w:rsid w:val="3FA5009E"/>
    <w:rsid w:val="3FD50D82"/>
    <w:rsid w:val="3FDB1475"/>
    <w:rsid w:val="3FDE5AD9"/>
    <w:rsid w:val="3FE56AF2"/>
    <w:rsid w:val="401C7BD5"/>
    <w:rsid w:val="402417C8"/>
    <w:rsid w:val="40372073"/>
    <w:rsid w:val="403E6346"/>
    <w:rsid w:val="404F52A8"/>
    <w:rsid w:val="40B6211F"/>
    <w:rsid w:val="40C2573C"/>
    <w:rsid w:val="40D34024"/>
    <w:rsid w:val="40D43BA0"/>
    <w:rsid w:val="40DC106D"/>
    <w:rsid w:val="40E241CE"/>
    <w:rsid w:val="40EA78D7"/>
    <w:rsid w:val="40F90C23"/>
    <w:rsid w:val="412912D7"/>
    <w:rsid w:val="41366B89"/>
    <w:rsid w:val="41643D6B"/>
    <w:rsid w:val="41771599"/>
    <w:rsid w:val="41A04E11"/>
    <w:rsid w:val="41B85F14"/>
    <w:rsid w:val="41DB0F0D"/>
    <w:rsid w:val="420558C2"/>
    <w:rsid w:val="42057B28"/>
    <w:rsid w:val="421052B2"/>
    <w:rsid w:val="42190CC2"/>
    <w:rsid w:val="422F36E3"/>
    <w:rsid w:val="42391B89"/>
    <w:rsid w:val="42407C97"/>
    <w:rsid w:val="42433C14"/>
    <w:rsid w:val="42491125"/>
    <w:rsid w:val="425F740A"/>
    <w:rsid w:val="427A44C2"/>
    <w:rsid w:val="42880654"/>
    <w:rsid w:val="428D14EF"/>
    <w:rsid w:val="4296187E"/>
    <w:rsid w:val="42A65AF0"/>
    <w:rsid w:val="42AD56C6"/>
    <w:rsid w:val="42F300EE"/>
    <w:rsid w:val="42FF71DC"/>
    <w:rsid w:val="42FF7548"/>
    <w:rsid w:val="432B1FC3"/>
    <w:rsid w:val="434D155D"/>
    <w:rsid w:val="435E53D9"/>
    <w:rsid w:val="436454E1"/>
    <w:rsid w:val="437A0D2C"/>
    <w:rsid w:val="438607EE"/>
    <w:rsid w:val="43911F91"/>
    <w:rsid w:val="4394491A"/>
    <w:rsid w:val="43997A97"/>
    <w:rsid w:val="43A2197F"/>
    <w:rsid w:val="43BD5DE5"/>
    <w:rsid w:val="43D65E39"/>
    <w:rsid w:val="43D6606E"/>
    <w:rsid w:val="43FE3B45"/>
    <w:rsid w:val="441111D7"/>
    <w:rsid w:val="441303B5"/>
    <w:rsid w:val="444C64B0"/>
    <w:rsid w:val="444D54BA"/>
    <w:rsid w:val="44742FDB"/>
    <w:rsid w:val="44861641"/>
    <w:rsid w:val="4496054C"/>
    <w:rsid w:val="449D508C"/>
    <w:rsid w:val="44B15AF7"/>
    <w:rsid w:val="44B36E39"/>
    <w:rsid w:val="44EC7013"/>
    <w:rsid w:val="44F02519"/>
    <w:rsid w:val="44FB3AE3"/>
    <w:rsid w:val="44FF3C64"/>
    <w:rsid w:val="45061393"/>
    <w:rsid w:val="450A44F7"/>
    <w:rsid w:val="45353B4F"/>
    <w:rsid w:val="453B7947"/>
    <w:rsid w:val="45427AA4"/>
    <w:rsid w:val="45515DC5"/>
    <w:rsid w:val="455454A2"/>
    <w:rsid w:val="45564CA5"/>
    <w:rsid w:val="455B6233"/>
    <w:rsid w:val="456A6A48"/>
    <w:rsid w:val="456C211B"/>
    <w:rsid w:val="45751837"/>
    <w:rsid w:val="457C3D14"/>
    <w:rsid w:val="45865E2C"/>
    <w:rsid w:val="45911A43"/>
    <w:rsid w:val="45A16423"/>
    <w:rsid w:val="45A24E61"/>
    <w:rsid w:val="45B457B5"/>
    <w:rsid w:val="45DE2657"/>
    <w:rsid w:val="45F10EC5"/>
    <w:rsid w:val="460F4303"/>
    <w:rsid w:val="462E7E70"/>
    <w:rsid w:val="463144E8"/>
    <w:rsid w:val="464E687C"/>
    <w:rsid w:val="466317E7"/>
    <w:rsid w:val="466E3CCD"/>
    <w:rsid w:val="4676381B"/>
    <w:rsid w:val="467744FD"/>
    <w:rsid w:val="46A746F1"/>
    <w:rsid w:val="46A9603F"/>
    <w:rsid w:val="46AF30F0"/>
    <w:rsid w:val="46D046FE"/>
    <w:rsid w:val="46E12276"/>
    <w:rsid w:val="46F03580"/>
    <w:rsid w:val="46F51A7F"/>
    <w:rsid w:val="47140188"/>
    <w:rsid w:val="4714637D"/>
    <w:rsid w:val="471F4E9D"/>
    <w:rsid w:val="47280D0D"/>
    <w:rsid w:val="4745087C"/>
    <w:rsid w:val="475F0C6A"/>
    <w:rsid w:val="476B7898"/>
    <w:rsid w:val="47700B34"/>
    <w:rsid w:val="477A6B40"/>
    <w:rsid w:val="47B32E9C"/>
    <w:rsid w:val="480B19F6"/>
    <w:rsid w:val="48212AE9"/>
    <w:rsid w:val="486C4CE7"/>
    <w:rsid w:val="48782345"/>
    <w:rsid w:val="489713C3"/>
    <w:rsid w:val="48A262B1"/>
    <w:rsid w:val="48A61EC2"/>
    <w:rsid w:val="48BA3284"/>
    <w:rsid w:val="48CB1CC0"/>
    <w:rsid w:val="49013C23"/>
    <w:rsid w:val="490A52ED"/>
    <w:rsid w:val="49163580"/>
    <w:rsid w:val="491E6E1E"/>
    <w:rsid w:val="491F7F64"/>
    <w:rsid w:val="492A1BD4"/>
    <w:rsid w:val="49582843"/>
    <w:rsid w:val="49733467"/>
    <w:rsid w:val="49997039"/>
    <w:rsid w:val="49A418F2"/>
    <w:rsid w:val="49B73A15"/>
    <w:rsid w:val="49C8100A"/>
    <w:rsid w:val="49E70C5B"/>
    <w:rsid w:val="49FF2037"/>
    <w:rsid w:val="4A0A7F62"/>
    <w:rsid w:val="4A143C42"/>
    <w:rsid w:val="4A1D00AC"/>
    <w:rsid w:val="4A270A04"/>
    <w:rsid w:val="4A414188"/>
    <w:rsid w:val="4A47591B"/>
    <w:rsid w:val="4A4C4C82"/>
    <w:rsid w:val="4A6F608D"/>
    <w:rsid w:val="4A885CE1"/>
    <w:rsid w:val="4A9452E5"/>
    <w:rsid w:val="4A9F2D3A"/>
    <w:rsid w:val="4A9F49CA"/>
    <w:rsid w:val="4AA8466E"/>
    <w:rsid w:val="4ABE4F66"/>
    <w:rsid w:val="4ABF0894"/>
    <w:rsid w:val="4ACB6941"/>
    <w:rsid w:val="4ADB4E28"/>
    <w:rsid w:val="4AF16114"/>
    <w:rsid w:val="4AF51588"/>
    <w:rsid w:val="4AF75899"/>
    <w:rsid w:val="4AFA71F1"/>
    <w:rsid w:val="4B170E1E"/>
    <w:rsid w:val="4B1A46C6"/>
    <w:rsid w:val="4B2517BD"/>
    <w:rsid w:val="4B2C35A3"/>
    <w:rsid w:val="4B333D7A"/>
    <w:rsid w:val="4B3422A0"/>
    <w:rsid w:val="4B3D3D17"/>
    <w:rsid w:val="4B4D3A8C"/>
    <w:rsid w:val="4B5523AC"/>
    <w:rsid w:val="4B946474"/>
    <w:rsid w:val="4BB31E0A"/>
    <w:rsid w:val="4BC74E08"/>
    <w:rsid w:val="4BD07997"/>
    <w:rsid w:val="4BDF3E16"/>
    <w:rsid w:val="4BFC6546"/>
    <w:rsid w:val="4C1003D8"/>
    <w:rsid w:val="4C352DA8"/>
    <w:rsid w:val="4C366477"/>
    <w:rsid w:val="4C38466F"/>
    <w:rsid w:val="4C5237AB"/>
    <w:rsid w:val="4C6F66E5"/>
    <w:rsid w:val="4C786851"/>
    <w:rsid w:val="4C942881"/>
    <w:rsid w:val="4CAF266F"/>
    <w:rsid w:val="4CC13ECD"/>
    <w:rsid w:val="4CD020F9"/>
    <w:rsid w:val="4CD53C2C"/>
    <w:rsid w:val="4D0B17EF"/>
    <w:rsid w:val="4D0E4802"/>
    <w:rsid w:val="4D2F7723"/>
    <w:rsid w:val="4D406BD1"/>
    <w:rsid w:val="4D5047B5"/>
    <w:rsid w:val="4D605A45"/>
    <w:rsid w:val="4D76573F"/>
    <w:rsid w:val="4D7C07CD"/>
    <w:rsid w:val="4D831E51"/>
    <w:rsid w:val="4DA02384"/>
    <w:rsid w:val="4DA44E4F"/>
    <w:rsid w:val="4DCE74AD"/>
    <w:rsid w:val="4DF521AC"/>
    <w:rsid w:val="4E0A2800"/>
    <w:rsid w:val="4E0D58C8"/>
    <w:rsid w:val="4E3D6F61"/>
    <w:rsid w:val="4E5079C5"/>
    <w:rsid w:val="4E623BD3"/>
    <w:rsid w:val="4E7906E7"/>
    <w:rsid w:val="4E837C45"/>
    <w:rsid w:val="4E901205"/>
    <w:rsid w:val="4E993495"/>
    <w:rsid w:val="4EA30D9D"/>
    <w:rsid w:val="4EA31AE4"/>
    <w:rsid w:val="4EB2058C"/>
    <w:rsid w:val="4EB60C48"/>
    <w:rsid w:val="4EDE147E"/>
    <w:rsid w:val="4EEA3967"/>
    <w:rsid w:val="4EEF1B44"/>
    <w:rsid w:val="4F0A27C3"/>
    <w:rsid w:val="4F0F005F"/>
    <w:rsid w:val="4F165D52"/>
    <w:rsid w:val="4F1D369F"/>
    <w:rsid w:val="4F213A90"/>
    <w:rsid w:val="4F290247"/>
    <w:rsid w:val="4F323CD2"/>
    <w:rsid w:val="4F332C0A"/>
    <w:rsid w:val="4F433DC8"/>
    <w:rsid w:val="4F4B51A5"/>
    <w:rsid w:val="4F5328A1"/>
    <w:rsid w:val="4F545D86"/>
    <w:rsid w:val="4FA14EEC"/>
    <w:rsid w:val="4FA84227"/>
    <w:rsid w:val="4FC231DA"/>
    <w:rsid w:val="4FE223EE"/>
    <w:rsid w:val="4FE3097A"/>
    <w:rsid w:val="4FFD3A77"/>
    <w:rsid w:val="501F59A7"/>
    <w:rsid w:val="503642D7"/>
    <w:rsid w:val="503D3F59"/>
    <w:rsid w:val="50650862"/>
    <w:rsid w:val="50681179"/>
    <w:rsid w:val="5095674A"/>
    <w:rsid w:val="50A01EE7"/>
    <w:rsid w:val="50A6221C"/>
    <w:rsid w:val="50AC4C20"/>
    <w:rsid w:val="50B61B8B"/>
    <w:rsid w:val="50C13C5F"/>
    <w:rsid w:val="50C16C1C"/>
    <w:rsid w:val="50C577D9"/>
    <w:rsid w:val="50E00158"/>
    <w:rsid w:val="50E8434B"/>
    <w:rsid w:val="50F0291C"/>
    <w:rsid w:val="50F5073D"/>
    <w:rsid w:val="51183F80"/>
    <w:rsid w:val="51201CFF"/>
    <w:rsid w:val="51286AE9"/>
    <w:rsid w:val="516C5BB7"/>
    <w:rsid w:val="51881606"/>
    <w:rsid w:val="518E2820"/>
    <w:rsid w:val="51AC5137"/>
    <w:rsid w:val="51B463DB"/>
    <w:rsid w:val="51C31254"/>
    <w:rsid w:val="51C979DD"/>
    <w:rsid w:val="520A22AE"/>
    <w:rsid w:val="52247A0F"/>
    <w:rsid w:val="52337DB7"/>
    <w:rsid w:val="52383966"/>
    <w:rsid w:val="52385792"/>
    <w:rsid w:val="523D42DD"/>
    <w:rsid w:val="523F6AFF"/>
    <w:rsid w:val="524F31BF"/>
    <w:rsid w:val="52514A0D"/>
    <w:rsid w:val="5273265C"/>
    <w:rsid w:val="52853336"/>
    <w:rsid w:val="52881D50"/>
    <w:rsid w:val="52991222"/>
    <w:rsid w:val="529B3EC4"/>
    <w:rsid w:val="529C7876"/>
    <w:rsid w:val="52DB19FD"/>
    <w:rsid w:val="52EE339D"/>
    <w:rsid w:val="5306292A"/>
    <w:rsid w:val="530822C8"/>
    <w:rsid w:val="533E1E81"/>
    <w:rsid w:val="536F3F83"/>
    <w:rsid w:val="536F7061"/>
    <w:rsid w:val="53703E8D"/>
    <w:rsid w:val="53707DDE"/>
    <w:rsid w:val="537E0058"/>
    <w:rsid w:val="53950AA6"/>
    <w:rsid w:val="53BF5670"/>
    <w:rsid w:val="53C502CE"/>
    <w:rsid w:val="53CD3C00"/>
    <w:rsid w:val="53D02F55"/>
    <w:rsid w:val="53E12D9E"/>
    <w:rsid w:val="53E64B1C"/>
    <w:rsid w:val="53E8652B"/>
    <w:rsid w:val="53EB486A"/>
    <w:rsid w:val="53EE67E9"/>
    <w:rsid w:val="53FD1C03"/>
    <w:rsid w:val="54020BC2"/>
    <w:rsid w:val="540310FA"/>
    <w:rsid w:val="54037045"/>
    <w:rsid w:val="540817F6"/>
    <w:rsid w:val="54270E2A"/>
    <w:rsid w:val="543E515D"/>
    <w:rsid w:val="543F413B"/>
    <w:rsid w:val="544B0D54"/>
    <w:rsid w:val="54591CDE"/>
    <w:rsid w:val="54625354"/>
    <w:rsid w:val="54984A43"/>
    <w:rsid w:val="54C557E7"/>
    <w:rsid w:val="54C65EC0"/>
    <w:rsid w:val="54D43100"/>
    <w:rsid w:val="552760F6"/>
    <w:rsid w:val="552A09F4"/>
    <w:rsid w:val="5532296D"/>
    <w:rsid w:val="555154EE"/>
    <w:rsid w:val="558F4A1E"/>
    <w:rsid w:val="55942252"/>
    <w:rsid w:val="55987FBD"/>
    <w:rsid w:val="559A4E37"/>
    <w:rsid w:val="55B41C64"/>
    <w:rsid w:val="55EC2897"/>
    <w:rsid w:val="55FA242D"/>
    <w:rsid w:val="56073E8B"/>
    <w:rsid w:val="5624057A"/>
    <w:rsid w:val="5630640C"/>
    <w:rsid w:val="5652511E"/>
    <w:rsid w:val="56543A0D"/>
    <w:rsid w:val="566B50BC"/>
    <w:rsid w:val="569E1AC8"/>
    <w:rsid w:val="56A4132F"/>
    <w:rsid w:val="56AC279F"/>
    <w:rsid w:val="56AF2E6F"/>
    <w:rsid w:val="56B4565D"/>
    <w:rsid w:val="56DC160C"/>
    <w:rsid w:val="56DF0963"/>
    <w:rsid w:val="56E2575C"/>
    <w:rsid w:val="56F37D3E"/>
    <w:rsid w:val="56F473C0"/>
    <w:rsid w:val="56FD3D8C"/>
    <w:rsid w:val="57065F83"/>
    <w:rsid w:val="57097BE4"/>
    <w:rsid w:val="570B6550"/>
    <w:rsid w:val="57196157"/>
    <w:rsid w:val="57484C26"/>
    <w:rsid w:val="5758628A"/>
    <w:rsid w:val="57617889"/>
    <w:rsid w:val="57713185"/>
    <w:rsid w:val="57745BB6"/>
    <w:rsid w:val="57855787"/>
    <w:rsid w:val="578A1BF3"/>
    <w:rsid w:val="57B02739"/>
    <w:rsid w:val="57BD6C04"/>
    <w:rsid w:val="57C51573"/>
    <w:rsid w:val="57D6036B"/>
    <w:rsid w:val="57DE28CC"/>
    <w:rsid w:val="57FF606E"/>
    <w:rsid w:val="580716CC"/>
    <w:rsid w:val="58220A26"/>
    <w:rsid w:val="58381DBD"/>
    <w:rsid w:val="58394C38"/>
    <w:rsid w:val="58423CCA"/>
    <w:rsid w:val="584B7C06"/>
    <w:rsid w:val="58510290"/>
    <w:rsid w:val="58553705"/>
    <w:rsid w:val="5855370B"/>
    <w:rsid w:val="58590F71"/>
    <w:rsid w:val="58B31DD9"/>
    <w:rsid w:val="58B91125"/>
    <w:rsid w:val="58C64CF3"/>
    <w:rsid w:val="58CB3B78"/>
    <w:rsid w:val="58D21B64"/>
    <w:rsid w:val="58E1168D"/>
    <w:rsid w:val="58F22C4C"/>
    <w:rsid w:val="590D2328"/>
    <w:rsid w:val="590F51DD"/>
    <w:rsid w:val="59232C0B"/>
    <w:rsid w:val="593A62F9"/>
    <w:rsid w:val="594D06B7"/>
    <w:rsid w:val="59600D8B"/>
    <w:rsid w:val="598D03EC"/>
    <w:rsid w:val="598D7696"/>
    <w:rsid w:val="59970566"/>
    <w:rsid w:val="59993E04"/>
    <w:rsid w:val="599C0038"/>
    <w:rsid w:val="59C35A05"/>
    <w:rsid w:val="59C43D4D"/>
    <w:rsid w:val="59C83A39"/>
    <w:rsid w:val="59FB18DA"/>
    <w:rsid w:val="5A1E308F"/>
    <w:rsid w:val="5A261DCD"/>
    <w:rsid w:val="5A361544"/>
    <w:rsid w:val="5A3F108A"/>
    <w:rsid w:val="5A5B363C"/>
    <w:rsid w:val="5A6D76C0"/>
    <w:rsid w:val="5A723A0D"/>
    <w:rsid w:val="5A762255"/>
    <w:rsid w:val="5A833B0D"/>
    <w:rsid w:val="5A9D621A"/>
    <w:rsid w:val="5AB17106"/>
    <w:rsid w:val="5AC219D6"/>
    <w:rsid w:val="5ACF40CD"/>
    <w:rsid w:val="5AFD3B96"/>
    <w:rsid w:val="5B0C640C"/>
    <w:rsid w:val="5B2D305D"/>
    <w:rsid w:val="5B443E9C"/>
    <w:rsid w:val="5B707739"/>
    <w:rsid w:val="5B956906"/>
    <w:rsid w:val="5BC92512"/>
    <w:rsid w:val="5BCE4EA4"/>
    <w:rsid w:val="5BD209C4"/>
    <w:rsid w:val="5BD637EC"/>
    <w:rsid w:val="5BDE5A43"/>
    <w:rsid w:val="5BE0323A"/>
    <w:rsid w:val="5C1B7F5F"/>
    <w:rsid w:val="5C34166A"/>
    <w:rsid w:val="5C4A36B7"/>
    <w:rsid w:val="5C4E44D4"/>
    <w:rsid w:val="5C5552A6"/>
    <w:rsid w:val="5CD7479C"/>
    <w:rsid w:val="5CE536CF"/>
    <w:rsid w:val="5CE568F8"/>
    <w:rsid w:val="5CF33064"/>
    <w:rsid w:val="5D0576C4"/>
    <w:rsid w:val="5D230368"/>
    <w:rsid w:val="5D255730"/>
    <w:rsid w:val="5D5667E0"/>
    <w:rsid w:val="5D580881"/>
    <w:rsid w:val="5D6261CB"/>
    <w:rsid w:val="5DA13534"/>
    <w:rsid w:val="5DCB56EC"/>
    <w:rsid w:val="5DD3703F"/>
    <w:rsid w:val="5DE448D2"/>
    <w:rsid w:val="5DF441FF"/>
    <w:rsid w:val="5E1463C6"/>
    <w:rsid w:val="5E285722"/>
    <w:rsid w:val="5E3B4D31"/>
    <w:rsid w:val="5E3E65D1"/>
    <w:rsid w:val="5E4B7A1D"/>
    <w:rsid w:val="5E50050F"/>
    <w:rsid w:val="5E5D04EF"/>
    <w:rsid w:val="5E68591D"/>
    <w:rsid w:val="5E731D18"/>
    <w:rsid w:val="5E742249"/>
    <w:rsid w:val="5E9E597C"/>
    <w:rsid w:val="5EA97C8F"/>
    <w:rsid w:val="5EED3932"/>
    <w:rsid w:val="5F0936DE"/>
    <w:rsid w:val="5F171517"/>
    <w:rsid w:val="5F62295E"/>
    <w:rsid w:val="5F700C2B"/>
    <w:rsid w:val="5F7D16C2"/>
    <w:rsid w:val="5F892553"/>
    <w:rsid w:val="5FAB77AE"/>
    <w:rsid w:val="5FB301BB"/>
    <w:rsid w:val="600A6271"/>
    <w:rsid w:val="60357E4D"/>
    <w:rsid w:val="6046706E"/>
    <w:rsid w:val="60492B3E"/>
    <w:rsid w:val="60565E64"/>
    <w:rsid w:val="6089047C"/>
    <w:rsid w:val="608D4CE3"/>
    <w:rsid w:val="60A859A2"/>
    <w:rsid w:val="60AB29AA"/>
    <w:rsid w:val="60AC67BD"/>
    <w:rsid w:val="60C06489"/>
    <w:rsid w:val="60CE2A0E"/>
    <w:rsid w:val="61204933"/>
    <w:rsid w:val="612354B4"/>
    <w:rsid w:val="61351A56"/>
    <w:rsid w:val="613F62A8"/>
    <w:rsid w:val="61415F87"/>
    <w:rsid w:val="615A223E"/>
    <w:rsid w:val="615B47A6"/>
    <w:rsid w:val="616435A6"/>
    <w:rsid w:val="619940E6"/>
    <w:rsid w:val="61A6014E"/>
    <w:rsid w:val="61D63921"/>
    <w:rsid w:val="61DB724C"/>
    <w:rsid w:val="61F439C5"/>
    <w:rsid w:val="61F443E9"/>
    <w:rsid w:val="61F61B0C"/>
    <w:rsid w:val="62213533"/>
    <w:rsid w:val="62270D05"/>
    <w:rsid w:val="62282D1D"/>
    <w:rsid w:val="62461BF2"/>
    <w:rsid w:val="62607426"/>
    <w:rsid w:val="62867444"/>
    <w:rsid w:val="629D7EE8"/>
    <w:rsid w:val="62BC107A"/>
    <w:rsid w:val="62C73A65"/>
    <w:rsid w:val="62D50998"/>
    <w:rsid w:val="62E7507D"/>
    <w:rsid w:val="62F67597"/>
    <w:rsid w:val="630C34D0"/>
    <w:rsid w:val="631E48B7"/>
    <w:rsid w:val="6322080B"/>
    <w:rsid w:val="635F6BBD"/>
    <w:rsid w:val="6388340F"/>
    <w:rsid w:val="638F7AFC"/>
    <w:rsid w:val="639215D8"/>
    <w:rsid w:val="63A36BE5"/>
    <w:rsid w:val="63C04B8A"/>
    <w:rsid w:val="63D42229"/>
    <w:rsid w:val="63D8474D"/>
    <w:rsid w:val="63DB746A"/>
    <w:rsid w:val="63E5033D"/>
    <w:rsid w:val="63EE162B"/>
    <w:rsid w:val="63F75B8A"/>
    <w:rsid w:val="640310C7"/>
    <w:rsid w:val="64155C8D"/>
    <w:rsid w:val="641B0760"/>
    <w:rsid w:val="641E1DE4"/>
    <w:rsid w:val="64203CB4"/>
    <w:rsid w:val="64222857"/>
    <w:rsid w:val="64335EB1"/>
    <w:rsid w:val="643519B3"/>
    <w:rsid w:val="64433CD0"/>
    <w:rsid w:val="64495F72"/>
    <w:rsid w:val="644B25BC"/>
    <w:rsid w:val="64580D33"/>
    <w:rsid w:val="647F6D16"/>
    <w:rsid w:val="6498217B"/>
    <w:rsid w:val="64987FF4"/>
    <w:rsid w:val="64A473F3"/>
    <w:rsid w:val="64D0513C"/>
    <w:rsid w:val="64EB1866"/>
    <w:rsid w:val="64F702F2"/>
    <w:rsid w:val="651424EE"/>
    <w:rsid w:val="65257BC1"/>
    <w:rsid w:val="65287A29"/>
    <w:rsid w:val="65537EF9"/>
    <w:rsid w:val="655E1155"/>
    <w:rsid w:val="655F4773"/>
    <w:rsid w:val="65636455"/>
    <w:rsid w:val="65A240BE"/>
    <w:rsid w:val="65A273A9"/>
    <w:rsid w:val="65A924D2"/>
    <w:rsid w:val="65AE5114"/>
    <w:rsid w:val="65B61DD9"/>
    <w:rsid w:val="65BB5075"/>
    <w:rsid w:val="65C0580D"/>
    <w:rsid w:val="65C76D0B"/>
    <w:rsid w:val="65CB5A52"/>
    <w:rsid w:val="65D23BC4"/>
    <w:rsid w:val="65FE41D7"/>
    <w:rsid w:val="662861DC"/>
    <w:rsid w:val="66286B79"/>
    <w:rsid w:val="66306F43"/>
    <w:rsid w:val="66326E97"/>
    <w:rsid w:val="663F4723"/>
    <w:rsid w:val="664615E7"/>
    <w:rsid w:val="665265F4"/>
    <w:rsid w:val="66634353"/>
    <w:rsid w:val="66943E18"/>
    <w:rsid w:val="6699652A"/>
    <w:rsid w:val="66A93110"/>
    <w:rsid w:val="66AC664F"/>
    <w:rsid w:val="66AF2B2C"/>
    <w:rsid w:val="66B41A4A"/>
    <w:rsid w:val="66DB2A60"/>
    <w:rsid w:val="66EC68BC"/>
    <w:rsid w:val="66F0190D"/>
    <w:rsid w:val="67064E16"/>
    <w:rsid w:val="670B0EC0"/>
    <w:rsid w:val="670F0B32"/>
    <w:rsid w:val="672833FF"/>
    <w:rsid w:val="67447CAA"/>
    <w:rsid w:val="67603184"/>
    <w:rsid w:val="676569B0"/>
    <w:rsid w:val="676E53AF"/>
    <w:rsid w:val="6772565E"/>
    <w:rsid w:val="67830DB6"/>
    <w:rsid w:val="679C72E6"/>
    <w:rsid w:val="679D7D9D"/>
    <w:rsid w:val="67A16316"/>
    <w:rsid w:val="67B52945"/>
    <w:rsid w:val="67B84A87"/>
    <w:rsid w:val="67D5396B"/>
    <w:rsid w:val="67E24A58"/>
    <w:rsid w:val="67E76177"/>
    <w:rsid w:val="67E967D4"/>
    <w:rsid w:val="67EA1DE2"/>
    <w:rsid w:val="67F51F5D"/>
    <w:rsid w:val="681C0F9C"/>
    <w:rsid w:val="68280A59"/>
    <w:rsid w:val="685448E5"/>
    <w:rsid w:val="68567ADB"/>
    <w:rsid w:val="685A52F7"/>
    <w:rsid w:val="686301D2"/>
    <w:rsid w:val="686F32ED"/>
    <w:rsid w:val="68763CFB"/>
    <w:rsid w:val="68775B46"/>
    <w:rsid w:val="689E6C51"/>
    <w:rsid w:val="68AB1911"/>
    <w:rsid w:val="68AC7864"/>
    <w:rsid w:val="68BD141F"/>
    <w:rsid w:val="68C2312F"/>
    <w:rsid w:val="68CC74D0"/>
    <w:rsid w:val="68DD058C"/>
    <w:rsid w:val="68E84B74"/>
    <w:rsid w:val="690300E6"/>
    <w:rsid w:val="691F004A"/>
    <w:rsid w:val="692563EE"/>
    <w:rsid w:val="692D6BB4"/>
    <w:rsid w:val="69456602"/>
    <w:rsid w:val="6965727E"/>
    <w:rsid w:val="69785369"/>
    <w:rsid w:val="697B19FC"/>
    <w:rsid w:val="69C62E9A"/>
    <w:rsid w:val="69D9569F"/>
    <w:rsid w:val="69F076EC"/>
    <w:rsid w:val="6A0C4C59"/>
    <w:rsid w:val="6A0C7811"/>
    <w:rsid w:val="6A0D3432"/>
    <w:rsid w:val="6A0E77F1"/>
    <w:rsid w:val="6A3001E9"/>
    <w:rsid w:val="6A55161C"/>
    <w:rsid w:val="6A65568E"/>
    <w:rsid w:val="6A8213EE"/>
    <w:rsid w:val="6A9553FE"/>
    <w:rsid w:val="6AC30E38"/>
    <w:rsid w:val="6ADB66AC"/>
    <w:rsid w:val="6ADD74FD"/>
    <w:rsid w:val="6AE3471E"/>
    <w:rsid w:val="6AEE0C73"/>
    <w:rsid w:val="6B3816B9"/>
    <w:rsid w:val="6B570F9E"/>
    <w:rsid w:val="6B704D44"/>
    <w:rsid w:val="6B7A4A17"/>
    <w:rsid w:val="6B7F1BF6"/>
    <w:rsid w:val="6B9512FD"/>
    <w:rsid w:val="6BB554FE"/>
    <w:rsid w:val="6BB87BB7"/>
    <w:rsid w:val="6BC12EDC"/>
    <w:rsid w:val="6BE255D8"/>
    <w:rsid w:val="6BE76A97"/>
    <w:rsid w:val="6BF056A3"/>
    <w:rsid w:val="6BF43FAF"/>
    <w:rsid w:val="6BFB78C8"/>
    <w:rsid w:val="6BFE61C2"/>
    <w:rsid w:val="6C0309D8"/>
    <w:rsid w:val="6C1363EA"/>
    <w:rsid w:val="6C1F175D"/>
    <w:rsid w:val="6C3E480C"/>
    <w:rsid w:val="6C4A348A"/>
    <w:rsid w:val="6C4A4478"/>
    <w:rsid w:val="6C5002D5"/>
    <w:rsid w:val="6C777224"/>
    <w:rsid w:val="6C83219C"/>
    <w:rsid w:val="6C833B41"/>
    <w:rsid w:val="6C9803A4"/>
    <w:rsid w:val="6CD323B8"/>
    <w:rsid w:val="6CF33107"/>
    <w:rsid w:val="6D243939"/>
    <w:rsid w:val="6D3125B4"/>
    <w:rsid w:val="6D447778"/>
    <w:rsid w:val="6D4A5F2F"/>
    <w:rsid w:val="6D620170"/>
    <w:rsid w:val="6D777E6B"/>
    <w:rsid w:val="6D84645E"/>
    <w:rsid w:val="6D8807AB"/>
    <w:rsid w:val="6D8F437E"/>
    <w:rsid w:val="6D990245"/>
    <w:rsid w:val="6D997573"/>
    <w:rsid w:val="6DA026C8"/>
    <w:rsid w:val="6DB46943"/>
    <w:rsid w:val="6DC62455"/>
    <w:rsid w:val="6E035FBA"/>
    <w:rsid w:val="6E123F60"/>
    <w:rsid w:val="6E130BF0"/>
    <w:rsid w:val="6E4D7D3F"/>
    <w:rsid w:val="6E5231A4"/>
    <w:rsid w:val="6E5A40EE"/>
    <w:rsid w:val="6E671D27"/>
    <w:rsid w:val="6E7D48F4"/>
    <w:rsid w:val="6E9C16AF"/>
    <w:rsid w:val="6E9D390D"/>
    <w:rsid w:val="6EE10B05"/>
    <w:rsid w:val="6F0472BB"/>
    <w:rsid w:val="6F18644A"/>
    <w:rsid w:val="6F206808"/>
    <w:rsid w:val="6F537CC8"/>
    <w:rsid w:val="6F5B3B07"/>
    <w:rsid w:val="6F6000F3"/>
    <w:rsid w:val="6F7A7501"/>
    <w:rsid w:val="6F7C0176"/>
    <w:rsid w:val="6FAB7D95"/>
    <w:rsid w:val="6FAD23B4"/>
    <w:rsid w:val="6FAD5E72"/>
    <w:rsid w:val="6FBD7D61"/>
    <w:rsid w:val="6FC42EAB"/>
    <w:rsid w:val="6FD101F3"/>
    <w:rsid w:val="6FE54985"/>
    <w:rsid w:val="6FEC7554"/>
    <w:rsid w:val="6FF1283A"/>
    <w:rsid w:val="70563262"/>
    <w:rsid w:val="705873A3"/>
    <w:rsid w:val="707B1DA1"/>
    <w:rsid w:val="709910D5"/>
    <w:rsid w:val="70D216D3"/>
    <w:rsid w:val="71534AAE"/>
    <w:rsid w:val="716C54B9"/>
    <w:rsid w:val="717A16B9"/>
    <w:rsid w:val="717C638C"/>
    <w:rsid w:val="719B216D"/>
    <w:rsid w:val="71B752EE"/>
    <w:rsid w:val="71C66F16"/>
    <w:rsid w:val="71DB12A7"/>
    <w:rsid w:val="71E619D1"/>
    <w:rsid w:val="72076DCF"/>
    <w:rsid w:val="72106F1F"/>
    <w:rsid w:val="722D57C7"/>
    <w:rsid w:val="724062B5"/>
    <w:rsid w:val="72491CAB"/>
    <w:rsid w:val="724A0704"/>
    <w:rsid w:val="724F46F0"/>
    <w:rsid w:val="7255143F"/>
    <w:rsid w:val="726436E6"/>
    <w:rsid w:val="72700C83"/>
    <w:rsid w:val="727E6483"/>
    <w:rsid w:val="728453D5"/>
    <w:rsid w:val="72935827"/>
    <w:rsid w:val="729B79DD"/>
    <w:rsid w:val="72BB1BA7"/>
    <w:rsid w:val="72D051AC"/>
    <w:rsid w:val="72D05F60"/>
    <w:rsid w:val="72ED426C"/>
    <w:rsid w:val="72F91A90"/>
    <w:rsid w:val="731C314C"/>
    <w:rsid w:val="732927A3"/>
    <w:rsid w:val="734333B2"/>
    <w:rsid w:val="73826B32"/>
    <w:rsid w:val="73A34F4F"/>
    <w:rsid w:val="73B02110"/>
    <w:rsid w:val="73CE0E30"/>
    <w:rsid w:val="73F95D4E"/>
    <w:rsid w:val="74044161"/>
    <w:rsid w:val="74194164"/>
    <w:rsid w:val="741C0ACA"/>
    <w:rsid w:val="742D6B25"/>
    <w:rsid w:val="744446C4"/>
    <w:rsid w:val="74524A6C"/>
    <w:rsid w:val="745D46B6"/>
    <w:rsid w:val="747E2170"/>
    <w:rsid w:val="74994FF2"/>
    <w:rsid w:val="74A93ADB"/>
    <w:rsid w:val="74AB764B"/>
    <w:rsid w:val="74BA0C6B"/>
    <w:rsid w:val="74BB501E"/>
    <w:rsid w:val="74EE31EA"/>
    <w:rsid w:val="74F227D5"/>
    <w:rsid w:val="74F479DA"/>
    <w:rsid w:val="74FA2880"/>
    <w:rsid w:val="75100B8F"/>
    <w:rsid w:val="75225CBF"/>
    <w:rsid w:val="75350693"/>
    <w:rsid w:val="75460C0C"/>
    <w:rsid w:val="7546677D"/>
    <w:rsid w:val="754B2AC0"/>
    <w:rsid w:val="754D466C"/>
    <w:rsid w:val="754F4CC4"/>
    <w:rsid w:val="756E0B0A"/>
    <w:rsid w:val="757031D9"/>
    <w:rsid w:val="75814167"/>
    <w:rsid w:val="75842DFC"/>
    <w:rsid w:val="75A667A1"/>
    <w:rsid w:val="75B9416A"/>
    <w:rsid w:val="75BE0722"/>
    <w:rsid w:val="75C247F2"/>
    <w:rsid w:val="75CD7BB5"/>
    <w:rsid w:val="75DB5451"/>
    <w:rsid w:val="75E9665D"/>
    <w:rsid w:val="76437D02"/>
    <w:rsid w:val="765120A6"/>
    <w:rsid w:val="76724739"/>
    <w:rsid w:val="767F05D4"/>
    <w:rsid w:val="76894CC3"/>
    <w:rsid w:val="76BF7D3D"/>
    <w:rsid w:val="76C52AEB"/>
    <w:rsid w:val="76D264D4"/>
    <w:rsid w:val="76E955C3"/>
    <w:rsid w:val="76FD43AC"/>
    <w:rsid w:val="77123ACC"/>
    <w:rsid w:val="77247924"/>
    <w:rsid w:val="772B1B20"/>
    <w:rsid w:val="77510935"/>
    <w:rsid w:val="77634F3B"/>
    <w:rsid w:val="77D36332"/>
    <w:rsid w:val="77D62A56"/>
    <w:rsid w:val="77E62733"/>
    <w:rsid w:val="77F84B71"/>
    <w:rsid w:val="780E1955"/>
    <w:rsid w:val="78293DC3"/>
    <w:rsid w:val="782D2D9B"/>
    <w:rsid w:val="782F7B31"/>
    <w:rsid w:val="783A6B2F"/>
    <w:rsid w:val="783F4F70"/>
    <w:rsid w:val="785B4C20"/>
    <w:rsid w:val="785D218D"/>
    <w:rsid w:val="78965720"/>
    <w:rsid w:val="78AB4E34"/>
    <w:rsid w:val="78B8567C"/>
    <w:rsid w:val="78D62FC2"/>
    <w:rsid w:val="78F7615B"/>
    <w:rsid w:val="78FD2962"/>
    <w:rsid w:val="792063BD"/>
    <w:rsid w:val="79307089"/>
    <w:rsid w:val="79373219"/>
    <w:rsid w:val="794625CC"/>
    <w:rsid w:val="794A4288"/>
    <w:rsid w:val="794C7980"/>
    <w:rsid w:val="7954036F"/>
    <w:rsid w:val="7963139E"/>
    <w:rsid w:val="798B23A6"/>
    <w:rsid w:val="79934622"/>
    <w:rsid w:val="79A86542"/>
    <w:rsid w:val="79BE5E62"/>
    <w:rsid w:val="79D00261"/>
    <w:rsid w:val="79D72059"/>
    <w:rsid w:val="79E92F86"/>
    <w:rsid w:val="79EC33C3"/>
    <w:rsid w:val="7A1C1793"/>
    <w:rsid w:val="7A1C4DC7"/>
    <w:rsid w:val="7A3A078E"/>
    <w:rsid w:val="7A45124E"/>
    <w:rsid w:val="7A4C7BCA"/>
    <w:rsid w:val="7A7F307F"/>
    <w:rsid w:val="7A850292"/>
    <w:rsid w:val="7A864059"/>
    <w:rsid w:val="7A991285"/>
    <w:rsid w:val="7AAC03BC"/>
    <w:rsid w:val="7AB2157C"/>
    <w:rsid w:val="7AB5655C"/>
    <w:rsid w:val="7AC179AB"/>
    <w:rsid w:val="7AC528C4"/>
    <w:rsid w:val="7ACE4545"/>
    <w:rsid w:val="7AE80992"/>
    <w:rsid w:val="7AE9752E"/>
    <w:rsid w:val="7AEC1055"/>
    <w:rsid w:val="7AF51135"/>
    <w:rsid w:val="7AFE078F"/>
    <w:rsid w:val="7B0320BB"/>
    <w:rsid w:val="7B1E43DB"/>
    <w:rsid w:val="7B1E76B6"/>
    <w:rsid w:val="7B5204F9"/>
    <w:rsid w:val="7B6E3852"/>
    <w:rsid w:val="7B745405"/>
    <w:rsid w:val="7BC8745E"/>
    <w:rsid w:val="7BCD7043"/>
    <w:rsid w:val="7BDA2B39"/>
    <w:rsid w:val="7BFD2FC3"/>
    <w:rsid w:val="7C274E7E"/>
    <w:rsid w:val="7C280E42"/>
    <w:rsid w:val="7C7F4F3C"/>
    <w:rsid w:val="7C9C55B4"/>
    <w:rsid w:val="7CA544A2"/>
    <w:rsid w:val="7CB347D7"/>
    <w:rsid w:val="7CCD67D7"/>
    <w:rsid w:val="7CE21673"/>
    <w:rsid w:val="7CE2570E"/>
    <w:rsid w:val="7CF45745"/>
    <w:rsid w:val="7D4033FD"/>
    <w:rsid w:val="7D4D5856"/>
    <w:rsid w:val="7D537A55"/>
    <w:rsid w:val="7D737A9C"/>
    <w:rsid w:val="7DAA16F6"/>
    <w:rsid w:val="7DE14EF9"/>
    <w:rsid w:val="7DF16A19"/>
    <w:rsid w:val="7E183EEA"/>
    <w:rsid w:val="7E194EBD"/>
    <w:rsid w:val="7E440B2B"/>
    <w:rsid w:val="7E4A22B2"/>
    <w:rsid w:val="7E4F61B6"/>
    <w:rsid w:val="7E6752B6"/>
    <w:rsid w:val="7E717A7B"/>
    <w:rsid w:val="7E80292D"/>
    <w:rsid w:val="7E84382C"/>
    <w:rsid w:val="7E855AE7"/>
    <w:rsid w:val="7E9D718F"/>
    <w:rsid w:val="7EA7411B"/>
    <w:rsid w:val="7EA874D5"/>
    <w:rsid w:val="7EAA0221"/>
    <w:rsid w:val="7EB02A3C"/>
    <w:rsid w:val="7EB714C1"/>
    <w:rsid w:val="7ED326C7"/>
    <w:rsid w:val="7F0A6F2E"/>
    <w:rsid w:val="7F21551C"/>
    <w:rsid w:val="7F251450"/>
    <w:rsid w:val="7F381A47"/>
    <w:rsid w:val="7F3932D6"/>
    <w:rsid w:val="7F3B3199"/>
    <w:rsid w:val="7F3D07F6"/>
    <w:rsid w:val="7F4D23DA"/>
    <w:rsid w:val="7F613C7E"/>
    <w:rsid w:val="7F827F3A"/>
    <w:rsid w:val="7F912BF1"/>
    <w:rsid w:val="7FA4150B"/>
    <w:rsid w:val="7FA61A8E"/>
    <w:rsid w:val="7FCC65E5"/>
    <w:rsid w:val="7FED79B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qFormat="1" w:unhideWhenUsed="0" w:uiPriority="99"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31">
    <w:name w:val="Default Paragraph Font"/>
    <w:semiHidden/>
    <w:unhideWhenUsed/>
    <w:qFormat/>
    <w:uiPriority w:val="1"/>
  </w:style>
  <w:style w:type="table" w:default="1" w:styleId="2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Body Text"/>
    <w:basedOn w:val="1"/>
    <w:qFormat/>
    <w:uiPriority w:val="0"/>
    <w:pPr>
      <w:spacing w:after="120"/>
      <w:jc w:val="both"/>
    </w:pPr>
    <w:rPr>
      <w:rFonts w:eastAsia="MS Mincho"/>
    </w:rPr>
  </w:style>
  <w:style w:type="paragraph" w:styleId="22">
    <w:name w:val="List 2"/>
    <w:basedOn w:val="23"/>
    <w:qFormat/>
    <w:uiPriority w:val="99"/>
    <w:pPr>
      <w:ind w:left="851"/>
    </w:pPr>
  </w:style>
  <w:style w:type="paragraph" w:styleId="23">
    <w:name w:val="List"/>
    <w:basedOn w:val="1"/>
    <w:qFormat/>
    <w:uiPriority w:val="0"/>
    <w:pPr>
      <w:ind w:left="568" w:hanging="284"/>
    </w:pPr>
  </w:style>
  <w:style w:type="paragraph" w:styleId="24">
    <w:name w:val="toc 8"/>
    <w:basedOn w:val="18"/>
    <w:next w:val="1"/>
    <w:qFormat/>
    <w:uiPriority w:val="39"/>
    <w:pPr>
      <w:spacing w:before="180"/>
      <w:ind w:left="2693" w:hanging="2693"/>
    </w:pPr>
    <w:rPr>
      <w:b/>
    </w:rPr>
  </w:style>
  <w:style w:type="paragraph" w:styleId="25">
    <w:name w:val="Balloon Text"/>
    <w:basedOn w:val="1"/>
    <w:link w:val="70"/>
    <w:qFormat/>
    <w:uiPriority w:val="0"/>
    <w:pPr>
      <w:spacing w:after="0"/>
    </w:pPr>
    <w:rPr>
      <w:rFonts w:ascii="Segoe UI" w:hAnsi="Segoe UI" w:cs="Segoe UI"/>
      <w:sz w:val="18"/>
      <w:szCs w:val="18"/>
    </w:rPr>
  </w:style>
  <w:style w:type="paragraph" w:styleId="26">
    <w:name w:val="footer"/>
    <w:basedOn w:val="1"/>
    <w:qFormat/>
    <w:uiPriority w:val="0"/>
    <w:pPr>
      <w:jc w:val="center"/>
    </w:pPr>
    <w:rPr>
      <w:i/>
    </w:rPr>
  </w:style>
  <w:style w:type="paragraph" w:styleId="27">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8">
    <w:name w:val="toc 9"/>
    <w:basedOn w:val="24"/>
    <w:next w:val="1"/>
    <w:qFormat/>
    <w:uiPriority w:val="39"/>
    <w:pPr>
      <w:ind w:left="1418" w:hanging="1418"/>
    </w:pPr>
  </w:style>
  <w:style w:type="table" w:styleId="30">
    <w:name w:val="Table Grid"/>
    <w:basedOn w:val="2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32">
    <w:name w:val="page number"/>
    <w:basedOn w:val="31"/>
    <w:semiHidden/>
    <w:qFormat/>
    <w:uiPriority w:val="0"/>
  </w:style>
  <w:style w:type="character" w:styleId="33">
    <w:name w:val="FollowedHyperlink"/>
    <w:basedOn w:val="31"/>
    <w:qFormat/>
    <w:uiPriority w:val="0"/>
    <w:rPr>
      <w:color w:val="954F72" w:themeColor="followedHyperlink"/>
      <w:u w:val="single"/>
      <w14:textFill>
        <w14:solidFill>
          <w14:schemeClr w14:val="folHlink"/>
        </w14:solidFill>
      </w14:textFill>
    </w:rPr>
  </w:style>
  <w:style w:type="character" w:styleId="34">
    <w:name w:val="Hyperlink"/>
    <w:basedOn w:val="31"/>
    <w:qFormat/>
    <w:uiPriority w:val="0"/>
    <w:rPr>
      <w:color w:val="0563C1" w:themeColor="hyperlink"/>
      <w:u w:val="single"/>
      <w14:textFill>
        <w14:solidFill>
          <w14:schemeClr w14:val="hlink"/>
        </w14:solidFill>
      </w14:textFill>
    </w:rPr>
  </w:style>
  <w:style w:type="paragraph" w:customStyle="1" w:styleId="35">
    <w:name w:val="EQ"/>
    <w:basedOn w:val="1"/>
    <w:next w:val="1"/>
    <w:qFormat/>
    <w:uiPriority w:val="0"/>
    <w:pPr>
      <w:keepLines/>
      <w:tabs>
        <w:tab w:val="center" w:pos="4536"/>
        <w:tab w:val="right" w:pos="9072"/>
      </w:tabs>
    </w:pPr>
  </w:style>
  <w:style w:type="character" w:customStyle="1" w:styleId="36">
    <w:name w:val="ZGSM"/>
    <w:qFormat/>
    <w:uiPriority w:val="0"/>
  </w:style>
  <w:style w:type="paragraph" w:customStyle="1" w:styleId="37">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8">
    <w:name w:val="TT"/>
    <w:basedOn w:val="2"/>
    <w:next w:val="1"/>
    <w:qFormat/>
    <w:uiPriority w:val="0"/>
    <w:pPr>
      <w:outlineLvl w:val="9"/>
    </w:pPr>
  </w:style>
  <w:style w:type="paragraph" w:customStyle="1" w:styleId="39">
    <w:name w:val="NF"/>
    <w:basedOn w:val="40"/>
    <w:qFormat/>
    <w:uiPriority w:val="0"/>
    <w:pPr>
      <w:keepNext/>
      <w:spacing w:after="0"/>
    </w:pPr>
    <w:rPr>
      <w:rFonts w:ascii="Arial" w:hAnsi="Arial"/>
      <w:sz w:val="18"/>
    </w:rPr>
  </w:style>
  <w:style w:type="paragraph" w:customStyle="1" w:styleId="40">
    <w:name w:val="NO"/>
    <w:basedOn w:val="1"/>
    <w:qFormat/>
    <w:uiPriority w:val="0"/>
    <w:pPr>
      <w:keepLines/>
      <w:ind w:left="1135" w:hanging="851"/>
    </w:pPr>
  </w:style>
  <w:style w:type="paragraph" w:customStyle="1" w:styleId="41">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42">
    <w:name w:val="TAR"/>
    <w:basedOn w:val="43"/>
    <w:qFormat/>
    <w:uiPriority w:val="0"/>
    <w:pPr>
      <w:jc w:val="right"/>
    </w:pPr>
  </w:style>
  <w:style w:type="paragraph" w:customStyle="1" w:styleId="43">
    <w:name w:val="TAL"/>
    <w:basedOn w:val="1"/>
    <w:qFormat/>
    <w:uiPriority w:val="0"/>
    <w:pPr>
      <w:keepNext/>
      <w:keepLines/>
      <w:spacing w:after="0"/>
    </w:pPr>
    <w:rPr>
      <w:rFonts w:ascii="Arial" w:hAnsi="Arial"/>
      <w:sz w:val="18"/>
    </w:rPr>
  </w:style>
  <w:style w:type="paragraph" w:customStyle="1" w:styleId="44">
    <w:name w:val="TAH"/>
    <w:basedOn w:val="45"/>
    <w:qFormat/>
    <w:uiPriority w:val="0"/>
    <w:rPr>
      <w:b/>
    </w:rPr>
  </w:style>
  <w:style w:type="paragraph" w:customStyle="1" w:styleId="45">
    <w:name w:val="TAC"/>
    <w:basedOn w:val="43"/>
    <w:qFormat/>
    <w:uiPriority w:val="0"/>
    <w:pPr>
      <w:jc w:val="center"/>
    </w:pPr>
  </w:style>
  <w:style w:type="paragraph" w:customStyle="1" w:styleId="46">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7">
    <w:name w:val="EX"/>
    <w:basedOn w:val="1"/>
    <w:qFormat/>
    <w:uiPriority w:val="0"/>
    <w:pPr>
      <w:keepLines/>
      <w:ind w:left="1702" w:hanging="1418"/>
    </w:pPr>
  </w:style>
  <w:style w:type="paragraph" w:customStyle="1" w:styleId="48">
    <w:name w:val="FP"/>
    <w:basedOn w:val="1"/>
    <w:qFormat/>
    <w:uiPriority w:val="0"/>
    <w:pPr>
      <w:spacing w:after="0"/>
    </w:pPr>
  </w:style>
  <w:style w:type="paragraph" w:customStyle="1" w:styleId="49">
    <w:name w:val="NW"/>
    <w:basedOn w:val="40"/>
    <w:qFormat/>
    <w:uiPriority w:val="0"/>
    <w:pPr>
      <w:spacing w:after="0"/>
    </w:pPr>
  </w:style>
  <w:style w:type="paragraph" w:customStyle="1" w:styleId="50">
    <w:name w:val="EW"/>
    <w:basedOn w:val="47"/>
    <w:qFormat/>
    <w:uiPriority w:val="0"/>
    <w:pPr>
      <w:spacing w:after="0"/>
    </w:pPr>
  </w:style>
  <w:style w:type="paragraph" w:customStyle="1" w:styleId="51">
    <w:name w:val="B1"/>
    <w:basedOn w:val="23"/>
    <w:qFormat/>
    <w:uiPriority w:val="0"/>
    <w:pPr>
      <w:ind w:left="568" w:hanging="284"/>
    </w:pPr>
  </w:style>
  <w:style w:type="paragraph" w:customStyle="1" w:styleId="52">
    <w:name w:val="Editor's Note"/>
    <w:basedOn w:val="40"/>
    <w:qFormat/>
    <w:uiPriority w:val="0"/>
    <w:rPr>
      <w:color w:val="FF0000"/>
    </w:rPr>
  </w:style>
  <w:style w:type="paragraph" w:customStyle="1" w:styleId="53">
    <w:name w:val="TH"/>
    <w:basedOn w:val="1"/>
    <w:qFormat/>
    <w:uiPriority w:val="0"/>
    <w:pPr>
      <w:keepNext/>
      <w:keepLines/>
      <w:spacing w:before="60"/>
      <w:jc w:val="center"/>
    </w:pPr>
    <w:rPr>
      <w:rFonts w:ascii="Arial" w:hAnsi="Arial"/>
      <w:b/>
    </w:rPr>
  </w:style>
  <w:style w:type="paragraph" w:customStyle="1" w:styleId="54">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5">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6">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7">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8">
    <w:name w:val="TAN"/>
    <w:basedOn w:val="43"/>
    <w:qFormat/>
    <w:uiPriority w:val="0"/>
    <w:pPr>
      <w:ind w:left="851" w:hanging="851"/>
    </w:pPr>
  </w:style>
  <w:style w:type="paragraph" w:customStyle="1" w:styleId="5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60">
    <w:name w:val="TF"/>
    <w:basedOn w:val="53"/>
    <w:qFormat/>
    <w:uiPriority w:val="0"/>
    <w:pPr>
      <w:keepNext w:val="0"/>
      <w:spacing w:before="0" w:after="240"/>
    </w:pPr>
  </w:style>
  <w:style w:type="paragraph" w:customStyle="1" w:styleId="61">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62">
    <w:name w:val="B2"/>
    <w:basedOn w:val="22"/>
    <w:qFormat/>
    <w:uiPriority w:val="0"/>
    <w:pPr>
      <w:ind w:left="851" w:hanging="284"/>
    </w:pPr>
  </w:style>
  <w:style w:type="paragraph" w:customStyle="1" w:styleId="63">
    <w:name w:val="B3"/>
    <w:basedOn w:val="1"/>
    <w:qFormat/>
    <w:uiPriority w:val="0"/>
    <w:pPr>
      <w:ind w:left="1135" w:hanging="284"/>
    </w:pPr>
  </w:style>
  <w:style w:type="paragraph" w:customStyle="1" w:styleId="64">
    <w:name w:val="B4"/>
    <w:basedOn w:val="1"/>
    <w:qFormat/>
    <w:uiPriority w:val="0"/>
    <w:pPr>
      <w:ind w:left="1418" w:hanging="284"/>
    </w:pPr>
  </w:style>
  <w:style w:type="paragraph" w:customStyle="1" w:styleId="65">
    <w:name w:val="B5"/>
    <w:basedOn w:val="1"/>
    <w:qFormat/>
    <w:uiPriority w:val="0"/>
    <w:pPr>
      <w:ind w:left="1702" w:hanging="284"/>
    </w:pPr>
  </w:style>
  <w:style w:type="paragraph" w:customStyle="1" w:styleId="66">
    <w:name w:val="ZTD"/>
    <w:basedOn w:val="55"/>
    <w:qFormat/>
    <w:uiPriority w:val="0"/>
    <w:pPr>
      <w:framePr w:hRule="auto" w:y="852"/>
    </w:pPr>
    <w:rPr>
      <w:i w:val="0"/>
      <w:sz w:val="40"/>
    </w:rPr>
  </w:style>
  <w:style w:type="paragraph" w:customStyle="1" w:styleId="67">
    <w:name w:val="ZV"/>
    <w:basedOn w:val="57"/>
    <w:qFormat/>
    <w:uiPriority w:val="0"/>
    <w:pPr>
      <w:framePr w:y="16161"/>
    </w:pPr>
  </w:style>
  <w:style w:type="paragraph" w:customStyle="1" w:styleId="68">
    <w:name w:val="TAJ"/>
    <w:basedOn w:val="53"/>
    <w:qFormat/>
    <w:uiPriority w:val="0"/>
  </w:style>
  <w:style w:type="paragraph" w:customStyle="1" w:styleId="69">
    <w:name w:val="Guidance"/>
    <w:basedOn w:val="1"/>
    <w:qFormat/>
    <w:uiPriority w:val="0"/>
    <w:rPr>
      <w:i/>
      <w:color w:val="0000FF"/>
    </w:rPr>
  </w:style>
  <w:style w:type="character" w:customStyle="1" w:styleId="70">
    <w:name w:val="Balloon Text Char"/>
    <w:link w:val="25"/>
    <w:qFormat/>
    <w:uiPriority w:val="0"/>
    <w:rPr>
      <w:rFonts w:ascii="Segoe UI" w:hAnsi="Segoe UI" w:cs="Segoe UI"/>
      <w:sz w:val="18"/>
      <w:szCs w:val="18"/>
      <w:lang w:eastAsia="en-US"/>
    </w:rPr>
  </w:style>
  <w:style w:type="character" w:customStyle="1" w:styleId="71">
    <w:name w:val="Unresolved Mention"/>
    <w:basedOn w:val="31"/>
    <w:semiHidden/>
    <w:unhideWhenUsed/>
    <w:qFormat/>
    <w:uiPriority w:val="99"/>
    <w:rPr>
      <w:color w:val="605E5C"/>
      <w:shd w:val="clear" w:color="auto" w:fill="E1DFDD"/>
    </w:rPr>
  </w:style>
  <w:style w:type="paragraph" w:styleId="72">
    <w:name w:val="List Paragraph"/>
    <w:basedOn w:val="1"/>
    <w:link w:val="73"/>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3">
    <w:name w:val="List Paragraph Char"/>
    <w:link w:val="72"/>
    <w:qFormat/>
    <w:locked/>
    <w:uiPriority w:val="34"/>
    <w:rPr>
      <w:rFonts w:asciiTheme="minorHAnsi" w:hAnsiTheme="minorHAnsi" w:eastAsiaTheme="minorHAnsi" w:cstheme="minorBidi"/>
      <w:sz w:val="22"/>
      <w:szCs w:val="22"/>
      <w:lang w:val="sv-SE" w:eastAsia="en-US"/>
    </w:rPr>
  </w:style>
  <w:style w:type="paragraph" w:customStyle="1" w:styleId="74">
    <w:name w:val="CR Cover Page"/>
    <w:link w:val="75"/>
    <w:qFormat/>
    <w:uiPriority w:val="0"/>
    <w:pPr>
      <w:spacing w:after="120"/>
    </w:pPr>
    <w:rPr>
      <w:rFonts w:ascii="Arial" w:hAnsi="Arial" w:eastAsia="Times New Roman" w:cs="Times New Roman"/>
      <w:lang w:val="en-GB" w:eastAsia="en-US" w:bidi="ar-SA"/>
    </w:rPr>
  </w:style>
  <w:style w:type="character" w:customStyle="1" w:styleId="75">
    <w:name w:val="CR Cover Page Char"/>
    <w:link w:val="74"/>
    <w:qFormat/>
    <w:uiPriority w:val="0"/>
    <w:rPr>
      <w:rFonts w:ascii="Arial" w:hAnsi="Arial"/>
      <w:lang w:eastAsia="en-US"/>
    </w:rPr>
  </w:style>
  <w:style w:type="paragraph" w:customStyle="1" w:styleId="76">
    <w:name w:val="RAN4 H1"/>
    <w:basedOn w:val="1"/>
    <w:next w:val="1"/>
    <w:link w:val="77"/>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7">
    <w:name w:val="RAN4 H1 Char"/>
    <w:basedOn w:val="31"/>
    <w:link w:val="76"/>
    <w:qFormat/>
    <w:uiPriority w:val="0"/>
    <w:rPr>
      <w:rFonts w:ascii="Arial" w:hAnsi="Arial" w:eastAsia="宋体" w:cs="Times New Roman"/>
      <w:sz w:val="36"/>
      <w:szCs w:val="20"/>
      <w:lang w:val="en-GB"/>
    </w:rPr>
  </w:style>
  <w:style w:type="paragraph" w:customStyle="1" w:styleId="78">
    <w:name w:val="RAN4 H2"/>
    <w:basedOn w:val="3"/>
    <w:next w:val="1"/>
    <w:qFormat/>
    <w:uiPriority w:val="0"/>
    <w:pPr>
      <w:numPr>
        <w:ilvl w:val="1"/>
        <w:numId w:val="1"/>
      </w:numPr>
      <w:ind w:left="431" w:hanging="431"/>
    </w:pPr>
    <w:rPr>
      <w:lang w:val="en-US"/>
    </w:rPr>
  </w:style>
  <w:style w:type="paragraph" w:customStyle="1" w:styleId="79">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80">
    <w:name w:val="Reference"/>
    <w:basedOn w:val="1"/>
    <w:qFormat/>
    <w:uiPriority w:val="0"/>
    <w:pPr>
      <w:overflowPunct/>
      <w:autoSpaceDE/>
      <w:autoSpaceDN/>
      <w:adjustRightInd/>
      <w:spacing w:after="0"/>
      <w:ind w:left="567" w:hanging="283"/>
      <w:textAlignment w:val="auto"/>
    </w:pPr>
    <w:rPr>
      <w:lang w:eastAsia="en-GB"/>
    </w:rPr>
  </w:style>
  <w:style w:type="paragraph" w:customStyle="1" w:styleId="81">
    <w:name w:val="正文3"/>
    <w:qFormat/>
    <w:uiPriority w:val="0"/>
    <w:pPr>
      <w:spacing w:before="120" w:after="120"/>
    </w:pPr>
    <w:rPr>
      <w:rFonts w:ascii="Times New Roman" w:hAnsi="Times New Roman" w:eastAsia="等线" w:cs="Times New Roman"/>
      <w:kern w:val="2"/>
      <w:sz w:val="20"/>
      <w:szCs w:val="20"/>
      <w:lang w:val="en-US" w:eastAsia="zh-CN"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4.png"/><Relationship Id="rId8" Type="http://schemas.openxmlformats.org/officeDocument/2006/relationships/image" Target="media/image3.png"/><Relationship Id="rId7" Type="http://schemas.openxmlformats.org/officeDocument/2006/relationships/image" Target="media/image2.png"/><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234</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2023-05-15T12:35:32Z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